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53FA" w14:textId="77777777" w:rsidR="00A351BC" w:rsidRPr="00A036C2" w:rsidRDefault="00A351BC">
      <w:pPr>
        <w:jc w:val="both"/>
        <w:rPr>
          <w:rFonts w:ascii="Times New Roman" w:eastAsia="Times New Roman" w:hAnsi="Times New Roman" w:cs="Times New Roman"/>
          <w:color w:val="222222"/>
          <w:sz w:val="22"/>
          <w:szCs w:val="22"/>
        </w:rPr>
      </w:pPr>
    </w:p>
    <w:p w14:paraId="5BA186CB" w14:textId="77777777" w:rsidR="00A351BC" w:rsidRPr="00F87104" w:rsidRDefault="008915D1" w:rsidP="00A036C2">
      <w:pPr>
        <w:pBdr>
          <w:top w:val="nil"/>
          <w:left w:val="nil"/>
          <w:bottom w:val="nil"/>
          <w:right w:val="nil"/>
          <w:between w:val="nil"/>
        </w:pBdr>
        <w:jc w:val="center"/>
        <w:rPr>
          <w:rFonts w:ascii="Times New Roman" w:hAnsi="Times New Roman" w:cs="Times New Roman"/>
          <w:b/>
          <w:sz w:val="30"/>
          <w:szCs w:val="30"/>
        </w:rPr>
      </w:pPr>
      <w:r w:rsidRPr="00F87104">
        <w:rPr>
          <w:rFonts w:ascii="Times New Roman" w:hAnsi="Times New Roman" w:cs="Times New Roman"/>
          <w:b/>
          <w:color w:val="000000"/>
          <w:sz w:val="30"/>
          <w:szCs w:val="30"/>
        </w:rPr>
        <w:t>The Future of Neurology Now</w:t>
      </w:r>
      <w:r w:rsidRPr="00F87104">
        <w:rPr>
          <w:rFonts w:ascii="Times New Roman" w:hAnsi="Times New Roman" w:cs="Times New Roman"/>
          <w:b/>
          <w:color w:val="000000"/>
          <w:sz w:val="30"/>
          <w:szCs w:val="30"/>
        </w:rPr>
        <w:br/>
        <w:t>Next Generation Neurological Treatment, Integration and Prevention</w:t>
      </w:r>
    </w:p>
    <w:p w14:paraId="5EBD05F1" w14:textId="043F74B7" w:rsidR="00A351BC" w:rsidRPr="00F87104" w:rsidRDefault="00032BAA" w:rsidP="00A036C2">
      <w:pPr>
        <w:pBdr>
          <w:top w:val="nil"/>
          <w:left w:val="nil"/>
          <w:bottom w:val="nil"/>
          <w:right w:val="nil"/>
          <w:between w:val="nil"/>
        </w:pBdr>
        <w:jc w:val="center"/>
        <w:rPr>
          <w:rFonts w:ascii="Times New Roman" w:hAnsi="Times New Roman" w:cs="Times New Roman"/>
          <w:color w:val="000000"/>
          <w:sz w:val="20"/>
          <w:szCs w:val="20"/>
        </w:rPr>
      </w:pPr>
      <w:r w:rsidRPr="00F87104">
        <w:rPr>
          <w:rFonts w:ascii="Times New Roman" w:hAnsi="Times New Roman" w:cs="Times New Roman"/>
          <w:b/>
          <w:color w:val="000000"/>
          <w:sz w:val="20"/>
          <w:szCs w:val="20"/>
        </w:rPr>
        <w:t>Times</w:t>
      </w:r>
      <w:r w:rsidR="00F954EC" w:rsidRPr="00F87104">
        <w:rPr>
          <w:rFonts w:ascii="Times New Roman" w:hAnsi="Times New Roman" w:cs="Times New Roman"/>
          <w:b/>
          <w:color w:val="000000"/>
          <w:sz w:val="20"/>
          <w:szCs w:val="20"/>
        </w:rPr>
        <w:t xml:space="preserve">:  Saturday </w:t>
      </w:r>
      <w:r w:rsidRPr="00F87104">
        <w:rPr>
          <w:rFonts w:ascii="Times New Roman" w:hAnsi="Times New Roman" w:cs="Times New Roman"/>
          <w:b/>
          <w:color w:val="000000"/>
          <w:sz w:val="20"/>
          <w:szCs w:val="20"/>
        </w:rPr>
        <w:t>8</w:t>
      </w:r>
      <w:r w:rsidRPr="00F87104">
        <w:rPr>
          <w:rFonts w:ascii="Times New Roman" w:hAnsi="Times New Roman" w:cs="Times New Roman"/>
          <w:b/>
          <w:sz w:val="20"/>
          <w:szCs w:val="20"/>
        </w:rPr>
        <w:t xml:space="preserve"> am</w:t>
      </w:r>
      <w:r w:rsidR="0000482C" w:rsidRPr="00F87104">
        <w:rPr>
          <w:rFonts w:ascii="Times New Roman" w:hAnsi="Times New Roman" w:cs="Times New Roman"/>
          <w:b/>
          <w:sz w:val="20"/>
          <w:szCs w:val="20"/>
        </w:rPr>
        <w:t xml:space="preserve"> – 5:45pm &amp; </w:t>
      </w:r>
      <w:r w:rsidR="00F954EC" w:rsidRPr="00F87104">
        <w:rPr>
          <w:rFonts w:ascii="Times New Roman" w:hAnsi="Times New Roman" w:cs="Times New Roman"/>
          <w:b/>
          <w:sz w:val="20"/>
          <w:szCs w:val="20"/>
        </w:rPr>
        <w:t xml:space="preserve">Sunday </w:t>
      </w:r>
      <w:r w:rsidRPr="00F87104">
        <w:rPr>
          <w:rFonts w:ascii="Times New Roman" w:hAnsi="Times New Roman" w:cs="Times New Roman"/>
          <w:b/>
          <w:sz w:val="20"/>
          <w:szCs w:val="20"/>
        </w:rPr>
        <w:t>8:00 am</w:t>
      </w:r>
      <w:r w:rsidR="00B215C1" w:rsidRPr="00F87104">
        <w:rPr>
          <w:rFonts w:ascii="Times New Roman" w:hAnsi="Times New Roman" w:cs="Times New Roman"/>
          <w:b/>
          <w:sz w:val="20"/>
          <w:szCs w:val="20"/>
        </w:rPr>
        <w:t xml:space="preserve"> – 3:20pm</w:t>
      </w:r>
    </w:p>
    <w:p w14:paraId="1499D37B" w14:textId="0F0F6788" w:rsidR="00A351BC" w:rsidRPr="00F87104" w:rsidRDefault="00032BAA" w:rsidP="00A036C2">
      <w:pPr>
        <w:pBdr>
          <w:top w:val="nil"/>
          <w:left w:val="nil"/>
          <w:bottom w:val="nil"/>
          <w:right w:val="nil"/>
          <w:between w:val="nil"/>
        </w:pBdr>
        <w:jc w:val="center"/>
        <w:rPr>
          <w:rFonts w:ascii="Times New Roman" w:hAnsi="Times New Roman" w:cs="Times New Roman"/>
          <w:color w:val="000000"/>
          <w:sz w:val="20"/>
          <w:szCs w:val="20"/>
        </w:rPr>
      </w:pPr>
      <w:r w:rsidRPr="00F87104">
        <w:rPr>
          <w:rFonts w:ascii="Times New Roman" w:hAnsi="Times New Roman" w:cs="Times New Roman"/>
          <w:b/>
          <w:color w:val="000000"/>
          <w:sz w:val="20"/>
          <w:szCs w:val="20"/>
        </w:rPr>
        <w:t>Instructor(s)</w:t>
      </w:r>
      <w:r w:rsidR="00A036C2" w:rsidRPr="00F87104">
        <w:rPr>
          <w:rFonts w:ascii="Times New Roman" w:hAnsi="Times New Roman" w:cs="Times New Roman"/>
          <w:b/>
          <w:color w:val="000000"/>
          <w:sz w:val="20"/>
          <w:szCs w:val="20"/>
        </w:rPr>
        <w:t>:  Dr. Trevor Berry, DC, DACNB &amp; Dr. Brandon Brock, DNP, DC, APRN, NP-C, DACNB, DCBCN, BCIM</w:t>
      </w:r>
      <w:r w:rsidR="00A036C2" w:rsidRPr="00F87104">
        <w:rPr>
          <w:rFonts w:ascii="Times New Roman" w:hAnsi="Times New Roman" w:cs="Times New Roman"/>
          <w:b/>
          <w:color w:val="000000"/>
          <w:sz w:val="20"/>
          <w:szCs w:val="20"/>
        </w:rPr>
        <w:br/>
      </w:r>
      <w:r w:rsidRPr="00F87104">
        <w:rPr>
          <w:rFonts w:ascii="Times New Roman" w:hAnsi="Times New Roman" w:cs="Times New Roman"/>
          <w:b/>
          <w:color w:val="000000"/>
          <w:sz w:val="20"/>
          <w:szCs w:val="20"/>
        </w:rPr>
        <w:t>Total CE hours: </w:t>
      </w:r>
      <w:r w:rsidR="00DC37F4" w:rsidRPr="00F87104">
        <w:rPr>
          <w:rFonts w:ascii="Times New Roman" w:hAnsi="Times New Roman" w:cs="Times New Roman"/>
          <w:color w:val="000000"/>
          <w:sz w:val="20"/>
          <w:szCs w:val="20"/>
        </w:rPr>
        <w:t>14</w:t>
      </w:r>
    </w:p>
    <w:p w14:paraId="6C52E2DB" w14:textId="77777777" w:rsidR="00A351BC" w:rsidRPr="00F87104" w:rsidRDefault="00A351BC">
      <w:pPr>
        <w:jc w:val="both"/>
        <w:rPr>
          <w:rFonts w:ascii="Times New Roman" w:eastAsia="Times New Roman" w:hAnsi="Times New Roman" w:cs="Times New Roman"/>
          <w:color w:val="222222"/>
          <w:sz w:val="22"/>
          <w:szCs w:val="22"/>
        </w:rPr>
      </w:pPr>
    </w:p>
    <w:p w14:paraId="42D5EF35" w14:textId="77777777" w:rsidR="00051698" w:rsidRPr="00F87104" w:rsidRDefault="00051698">
      <w:pPr>
        <w:jc w:val="both"/>
        <w:rPr>
          <w:rFonts w:ascii="Times New Roman" w:hAnsi="Times New Roman" w:cs="Times New Roman"/>
          <w:b/>
          <w:color w:val="222222"/>
          <w:sz w:val="20"/>
          <w:szCs w:val="20"/>
        </w:rPr>
      </w:pPr>
    </w:p>
    <w:p w14:paraId="2446A3A4" w14:textId="77777777" w:rsidR="00A351BC" w:rsidRPr="00F87104" w:rsidRDefault="00032BAA">
      <w:pPr>
        <w:jc w:val="both"/>
        <w:rPr>
          <w:rFonts w:ascii="Times New Roman" w:hAnsi="Times New Roman" w:cs="Times New Roman"/>
          <w:color w:val="222222"/>
          <w:sz w:val="20"/>
          <w:szCs w:val="20"/>
        </w:rPr>
      </w:pPr>
      <w:r w:rsidRPr="00F87104">
        <w:rPr>
          <w:rFonts w:ascii="Times New Roman" w:hAnsi="Times New Roman" w:cs="Times New Roman"/>
          <w:b/>
          <w:color w:val="222222"/>
          <w:sz w:val="20"/>
          <w:szCs w:val="20"/>
        </w:rPr>
        <w:t xml:space="preserve">Abstract Summary:  </w:t>
      </w:r>
      <w:r w:rsidRPr="00F87104">
        <w:rPr>
          <w:rFonts w:ascii="Times New Roman" w:hAnsi="Times New Roman" w:cs="Times New Roman"/>
          <w:color w:val="222222"/>
          <w:sz w:val="20"/>
          <w:szCs w:val="20"/>
        </w:rPr>
        <w:t>The purpose of this lecture is to understand how cellular receptors and various treatment techniques alter neurological function.  The concept of diagnosis, management and treatment along with documentation and outcome assessment with proven techniques is imperative in this lecture. Looking at genetic responses, antibody testing</w:t>
      </w:r>
      <w:r w:rsidR="00B51CCA" w:rsidRPr="00F87104">
        <w:rPr>
          <w:rFonts w:ascii="Times New Roman" w:hAnsi="Times New Roman" w:cs="Times New Roman"/>
          <w:color w:val="222222"/>
          <w:sz w:val="20"/>
          <w:szCs w:val="20"/>
        </w:rPr>
        <w:t xml:space="preserve"> </w:t>
      </w:r>
      <w:r w:rsidRPr="00F87104">
        <w:rPr>
          <w:rFonts w:ascii="Times New Roman" w:hAnsi="Times New Roman" w:cs="Times New Roman"/>
          <w:color w:val="222222"/>
          <w:sz w:val="20"/>
          <w:szCs w:val="20"/>
        </w:rPr>
        <w:t xml:space="preserve">and basic serological testing is good for diagnostic parameters.  </w:t>
      </w:r>
    </w:p>
    <w:p w14:paraId="450086D2" w14:textId="77777777" w:rsidR="00A351BC" w:rsidRPr="00F87104" w:rsidRDefault="00A351BC">
      <w:pPr>
        <w:jc w:val="both"/>
        <w:rPr>
          <w:rFonts w:ascii="Times New Roman" w:hAnsi="Times New Roman" w:cs="Times New Roman"/>
          <w:color w:val="222222"/>
          <w:sz w:val="20"/>
          <w:szCs w:val="20"/>
        </w:rPr>
      </w:pPr>
    </w:p>
    <w:p w14:paraId="404101A1" w14:textId="77777777" w:rsidR="00A351BC" w:rsidRPr="00F87104" w:rsidRDefault="00032BAA">
      <w:pPr>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Treatment factors such LLLT, nutrition, </w:t>
      </w:r>
      <w:r w:rsidR="00B51CCA" w:rsidRPr="00F87104">
        <w:rPr>
          <w:rFonts w:ascii="Times New Roman" w:hAnsi="Times New Roman" w:cs="Times New Roman"/>
          <w:color w:val="222222"/>
          <w:sz w:val="20"/>
          <w:szCs w:val="20"/>
        </w:rPr>
        <w:t>receptor-based</w:t>
      </w:r>
      <w:r w:rsidRPr="00F87104">
        <w:rPr>
          <w:rFonts w:ascii="Times New Roman" w:hAnsi="Times New Roman" w:cs="Times New Roman"/>
          <w:color w:val="222222"/>
          <w:sz w:val="20"/>
          <w:szCs w:val="20"/>
        </w:rPr>
        <w:t xml:space="preserve"> therapy and joint mobilization are supportive to establish function as it pertains to correction of the physiology noted as pathological on diagnostic testing.  The underlying meaning of this concept is </w:t>
      </w:r>
    </w:p>
    <w:p w14:paraId="18E84114" w14:textId="77777777" w:rsidR="00A351BC" w:rsidRPr="00F87104" w:rsidRDefault="00032BAA">
      <w:pPr>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involved in conditions that range from aging to many varieties of dementia and encephalopathies as well as an aging brain and nervous system. </w:t>
      </w:r>
    </w:p>
    <w:p w14:paraId="21154999" w14:textId="77777777" w:rsidR="00A351BC" w:rsidRPr="00F87104" w:rsidRDefault="00A351BC">
      <w:pPr>
        <w:jc w:val="both"/>
        <w:rPr>
          <w:rFonts w:ascii="Times New Roman" w:hAnsi="Times New Roman" w:cs="Times New Roman"/>
          <w:b/>
          <w:color w:val="222222"/>
          <w:sz w:val="20"/>
          <w:szCs w:val="20"/>
        </w:rPr>
      </w:pPr>
    </w:p>
    <w:p w14:paraId="48B5484D" w14:textId="77777777" w:rsidR="00A351BC" w:rsidRPr="00F87104" w:rsidRDefault="00032BAA">
      <w:pPr>
        <w:jc w:val="both"/>
        <w:rPr>
          <w:rFonts w:ascii="Times New Roman" w:hAnsi="Times New Roman" w:cs="Times New Roman"/>
          <w:color w:val="222222"/>
          <w:sz w:val="20"/>
          <w:szCs w:val="20"/>
        </w:rPr>
      </w:pPr>
      <w:r w:rsidRPr="00F87104">
        <w:rPr>
          <w:rFonts w:ascii="Times New Roman" w:hAnsi="Times New Roman" w:cs="Times New Roman"/>
          <w:b/>
          <w:color w:val="222222"/>
          <w:sz w:val="20"/>
          <w:szCs w:val="20"/>
        </w:rPr>
        <w:t>Main Objectives:</w:t>
      </w:r>
    </w:p>
    <w:p w14:paraId="6DA38404" w14:textId="77777777" w:rsidR="00A351BC" w:rsidRPr="00F87104" w:rsidRDefault="00032BAA" w:rsidP="00A036C2">
      <w:pPr>
        <w:pStyle w:val="ListParagraph"/>
        <w:numPr>
          <w:ilvl w:val="0"/>
          <w:numId w:val="24"/>
        </w:numPr>
        <w:pBdr>
          <w:top w:val="nil"/>
          <w:left w:val="nil"/>
          <w:bottom w:val="nil"/>
          <w:right w:val="nil"/>
          <w:between w:val="nil"/>
        </w:pBdr>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Cellular physiology of neuronal excitotoxicity, immunology of brain function and nutritional, laser and rehabilitative concepts. </w:t>
      </w:r>
    </w:p>
    <w:p w14:paraId="350C89AF" w14:textId="77777777" w:rsidR="00A036C2" w:rsidRPr="00F87104" w:rsidRDefault="00032BAA" w:rsidP="00A036C2">
      <w:pPr>
        <w:pStyle w:val="ListParagraph"/>
        <w:numPr>
          <w:ilvl w:val="0"/>
          <w:numId w:val="24"/>
        </w:numPr>
        <w:pBdr>
          <w:top w:val="nil"/>
          <w:left w:val="nil"/>
          <w:bottom w:val="nil"/>
          <w:right w:val="nil"/>
          <w:between w:val="nil"/>
        </w:pBdr>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Alterations in brain plasticity in mental and neurodegenerative disorders, genetic factors and antibody relationships. </w:t>
      </w:r>
    </w:p>
    <w:p w14:paraId="3D0ADEB5" w14:textId="77777777" w:rsidR="00A036C2" w:rsidRPr="00F87104" w:rsidRDefault="00032BAA" w:rsidP="00A036C2">
      <w:pPr>
        <w:pStyle w:val="ListParagraph"/>
        <w:numPr>
          <w:ilvl w:val="0"/>
          <w:numId w:val="24"/>
        </w:numPr>
        <w:pBdr>
          <w:top w:val="nil"/>
          <w:left w:val="nil"/>
          <w:bottom w:val="nil"/>
          <w:right w:val="nil"/>
          <w:between w:val="nil"/>
        </w:pBdr>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Comorbidities related to Brain function including hormones, gut function, inflammation, infectious disease, heavy metal issues, lipids,</w:t>
      </w:r>
      <w:r w:rsidR="00A036C2" w:rsidRPr="00F87104">
        <w:rPr>
          <w:rFonts w:ascii="Times New Roman" w:hAnsi="Times New Roman" w:cs="Times New Roman"/>
          <w:color w:val="222222"/>
          <w:sz w:val="20"/>
          <w:szCs w:val="20"/>
        </w:rPr>
        <w:t xml:space="preserve"> </w:t>
      </w:r>
      <w:r w:rsidRPr="00F87104">
        <w:rPr>
          <w:rFonts w:ascii="Times New Roman" w:hAnsi="Times New Roman" w:cs="Times New Roman"/>
          <w:color w:val="222222"/>
          <w:sz w:val="20"/>
          <w:szCs w:val="20"/>
        </w:rPr>
        <w:t xml:space="preserve">vascular function and </w:t>
      </w:r>
      <w:r w:rsidR="00685A3D" w:rsidRPr="00F87104">
        <w:rPr>
          <w:rFonts w:ascii="Times New Roman" w:hAnsi="Times New Roman" w:cs="Times New Roman"/>
          <w:color w:val="222222"/>
          <w:sz w:val="20"/>
          <w:szCs w:val="20"/>
        </w:rPr>
        <w:t>receptor-based</w:t>
      </w:r>
      <w:r w:rsidRPr="00F87104">
        <w:rPr>
          <w:rFonts w:ascii="Times New Roman" w:hAnsi="Times New Roman" w:cs="Times New Roman"/>
          <w:color w:val="222222"/>
          <w:sz w:val="20"/>
          <w:szCs w:val="20"/>
        </w:rPr>
        <w:t xml:space="preserve"> input.</w:t>
      </w:r>
    </w:p>
    <w:p w14:paraId="650EA150" w14:textId="77777777" w:rsidR="00A351BC" w:rsidRPr="00F87104" w:rsidRDefault="00032BAA" w:rsidP="00A036C2">
      <w:pPr>
        <w:pStyle w:val="ListParagraph"/>
        <w:numPr>
          <w:ilvl w:val="0"/>
          <w:numId w:val="24"/>
        </w:numPr>
        <w:pBdr>
          <w:top w:val="nil"/>
          <w:left w:val="nil"/>
          <w:bottom w:val="nil"/>
          <w:right w:val="nil"/>
          <w:between w:val="nil"/>
        </w:pBdr>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Simple linear models of testing, detecting and optimizing brain health with a novel and newly developed combination of photobiomodulation, biomechanical correction, </w:t>
      </w:r>
      <w:r w:rsidR="00685A3D" w:rsidRPr="00F87104">
        <w:rPr>
          <w:rFonts w:ascii="Times New Roman" w:hAnsi="Times New Roman" w:cs="Times New Roman"/>
          <w:color w:val="222222"/>
          <w:sz w:val="20"/>
          <w:szCs w:val="20"/>
        </w:rPr>
        <w:t>brain-based</w:t>
      </w:r>
      <w:r w:rsidRPr="00F87104">
        <w:rPr>
          <w:rFonts w:ascii="Times New Roman" w:hAnsi="Times New Roman" w:cs="Times New Roman"/>
          <w:color w:val="222222"/>
          <w:sz w:val="20"/>
          <w:szCs w:val="20"/>
        </w:rPr>
        <w:t xml:space="preserve"> exercises, nutrition and related labs and posture studies.  This is a complete package with backed research and flowing treatment methodology.</w:t>
      </w:r>
    </w:p>
    <w:p w14:paraId="7D4F78EA" w14:textId="77777777" w:rsidR="00A351BC" w:rsidRPr="00F87104" w:rsidRDefault="00032BAA" w:rsidP="00A036C2">
      <w:pPr>
        <w:pStyle w:val="ListParagraph"/>
        <w:numPr>
          <w:ilvl w:val="0"/>
          <w:numId w:val="24"/>
        </w:numPr>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Be able to teach, chart, document and educate your patients while billing and scheduling appropriately.  </w:t>
      </w:r>
    </w:p>
    <w:p w14:paraId="6CDE96B3" w14:textId="77777777" w:rsidR="00A351BC" w:rsidRPr="00F87104" w:rsidRDefault="00032BAA" w:rsidP="00A036C2">
      <w:pPr>
        <w:pStyle w:val="ListParagraph"/>
        <w:numPr>
          <w:ilvl w:val="0"/>
          <w:numId w:val="24"/>
        </w:numP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Review of medical necessity parameters for each study. </w:t>
      </w:r>
    </w:p>
    <w:p w14:paraId="32484E3C" w14:textId="77777777" w:rsidR="00A351BC" w:rsidRPr="00F87104" w:rsidRDefault="00032BAA" w:rsidP="00A036C2">
      <w:pPr>
        <w:pStyle w:val="ListParagraph"/>
        <w:numPr>
          <w:ilvl w:val="0"/>
          <w:numId w:val="24"/>
        </w:numP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Review of clinical findings to support the need and type of study. </w:t>
      </w:r>
    </w:p>
    <w:p w14:paraId="1AEE1B5B" w14:textId="77777777" w:rsidR="00A351BC" w:rsidRPr="00F87104" w:rsidRDefault="00032BAA" w:rsidP="00A036C2">
      <w:pPr>
        <w:pStyle w:val="ListParagraph"/>
        <w:numPr>
          <w:ilvl w:val="0"/>
          <w:numId w:val="24"/>
        </w:numPr>
        <w:jc w:val="both"/>
        <w:rPr>
          <w:rFonts w:ascii="Times New Roman" w:hAnsi="Times New Roman" w:cs="Times New Roman"/>
          <w:color w:val="222222"/>
          <w:sz w:val="20"/>
          <w:szCs w:val="20"/>
        </w:rPr>
      </w:pPr>
      <w:r w:rsidRPr="00F87104">
        <w:rPr>
          <w:rFonts w:ascii="Times New Roman" w:hAnsi="Times New Roman" w:cs="Times New Roman"/>
          <w:color w:val="000000"/>
          <w:sz w:val="20"/>
          <w:szCs w:val="20"/>
        </w:rPr>
        <w:t>To provide case studies and clinical practice scenarios to promote proficiency pertaining to laboratory analysis.   </w:t>
      </w:r>
    </w:p>
    <w:p w14:paraId="3B9C3771" w14:textId="77777777" w:rsidR="00A351BC" w:rsidRPr="00F87104" w:rsidRDefault="00032BAA">
      <w:pPr>
        <w:ind w:left="720"/>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     </w:t>
      </w:r>
    </w:p>
    <w:p w14:paraId="7307CB88" w14:textId="77777777" w:rsidR="00A351BC" w:rsidRPr="00F87104" w:rsidRDefault="00032BAA">
      <w:pPr>
        <w:jc w:val="both"/>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Take Away Concepts: (The learner will be able to)</w:t>
      </w:r>
    </w:p>
    <w:p w14:paraId="0D180650" w14:textId="77777777" w:rsidR="00A351BC" w:rsidRPr="00F87104" w:rsidRDefault="00032BAA">
      <w:pPr>
        <w:numPr>
          <w:ilvl w:val="0"/>
          <w:numId w:val="13"/>
        </w:numPr>
        <w:pBdr>
          <w:top w:val="nil"/>
          <w:left w:val="nil"/>
          <w:bottom w:val="nil"/>
          <w:right w:val="nil"/>
          <w:between w:val="nil"/>
        </w:pBdr>
        <w:jc w:val="both"/>
        <w:rPr>
          <w:rFonts w:ascii="Times New Roman" w:hAnsi="Times New Roman" w:cs="Times New Roman"/>
          <w:b/>
          <w:color w:val="222222"/>
          <w:sz w:val="20"/>
          <w:szCs w:val="20"/>
        </w:rPr>
      </w:pPr>
      <w:r w:rsidRPr="00F87104">
        <w:rPr>
          <w:rFonts w:ascii="Times New Roman" w:hAnsi="Times New Roman" w:cs="Times New Roman"/>
          <w:color w:val="222222"/>
          <w:sz w:val="20"/>
          <w:szCs w:val="20"/>
        </w:rPr>
        <w:t>Recognizing diagnostics that can immediately be used.</w:t>
      </w:r>
    </w:p>
    <w:p w14:paraId="6DB6DFBC" w14:textId="77777777" w:rsidR="00A351BC" w:rsidRPr="00F87104" w:rsidRDefault="00032BAA">
      <w:pPr>
        <w:numPr>
          <w:ilvl w:val="0"/>
          <w:numId w:val="13"/>
        </w:numPr>
        <w:pBdr>
          <w:top w:val="nil"/>
          <w:left w:val="nil"/>
          <w:bottom w:val="nil"/>
          <w:right w:val="nil"/>
          <w:between w:val="nil"/>
        </w:pBdr>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Understanding treatment paradigms that can be used immediately.</w:t>
      </w:r>
    </w:p>
    <w:p w14:paraId="1BB223BD" w14:textId="77777777" w:rsidR="00A351BC" w:rsidRPr="00F87104" w:rsidRDefault="00032BAA">
      <w:pPr>
        <w:numPr>
          <w:ilvl w:val="0"/>
          <w:numId w:val="13"/>
        </w:numPr>
        <w:pBdr>
          <w:top w:val="nil"/>
          <w:left w:val="nil"/>
          <w:bottom w:val="nil"/>
          <w:right w:val="nil"/>
          <w:between w:val="nil"/>
        </w:pBdr>
        <w:jc w:val="both"/>
        <w:rPr>
          <w:rFonts w:ascii="Times New Roman" w:hAnsi="Times New Roman" w:cs="Times New Roman"/>
          <w:color w:val="222222"/>
          <w:sz w:val="20"/>
          <w:szCs w:val="20"/>
        </w:rPr>
      </w:pPr>
      <w:r w:rsidRPr="00F87104">
        <w:rPr>
          <w:rFonts w:ascii="Times New Roman" w:hAnsi="Times New Roman" w:cs="Times New Roman"/>
          <w:color w:val="222222"/>
          <w:sz w:val="20"/>
          <w:szCs w:val="20"/>
        </w:rPr>
        <w:t>Understand outcomes assessments that demonstrate the efficacy and quality improvement of therapy that is performed based upon diagnostic direction.</w:t>
      </w:r>
    </w:p>
    <w:p w14:paraId="1C11C7A1" w14:textId="77777777" w:rsidR="00A351BC" w:rsidRPr="00F87104" w:rsidRDefault="00A351BC">
      <w:pPr>
        <w:pBdr>
          <w:top w:val="nil"/>
          <w:left w:val="nil"/>
          <w:bottom w:val="nil"/>
          <w:right w:val="nil"/>
          <w:between w:val="nil"/>
        </w:pBdr>
        <w:ind w:left="1440" w:hanging="720"/>
        <w:jc w:val="both"/>
        <w:rPr>
          <w:rFonts w:ascii="Times New Roman" w:hAnsi="Times New Roman" w:cs="Times New Roman"/>
          <w:b/>
          <w:color w:val="222222"/>
          <w:sz w:val="20"/>
          <w:szCs w:val="20"/>
        </w:rPr>
      </w:pPr>
    </w:p>
    <w:p w14:paraId="71242747" w14:textId="77777777" w:rsidR="00A351BC" w:rsidRPr="00F87104" w:rsidRDefault="00032BAA">
      <w:pPr>
        <w:jc w:val="both"/>
        <w:rPr>
          <w:rFonts w:ascii="Times New Roman" w:hAnsi="Times New Roman" w:cs="Times New Roman"/>
          <w:color w:val="222222"/>
          <w:sz w:val="20"/>
          <w:szCs w:val="20"/>
        </w:rPr>
      </w:pPr>
      <w:r w:rsidRPr="00F87104">
        <w:rPr>
          <w:rFonts w:ascii="Times New Roman" w:hAnsi="Times New Roman" w:cs="Times New Roman"/>
          <w:b/>
          <w:color w:val="222222"/>
          <w:sz w:val="20"/>
          <w:szCs w:val="20"/>
        </w:rPr>
        <w:t>Key Words:</w:t>
      </w:r>
      <w:r w:rsidRPr="00F87104">
        <w:rPr>
          <w:rFonts w:ascii="Times New Roman" w:hAnsi="Times New Roman" w:cs="Times New Roman"/>
          <w:color w:val="222222"/>
          <w:sz w:val="20"/>
          <w:szCs w:val="20"/>
        </w:rPr>
        <w:t xml:space="preserve"> </w:t>
      </w:r>
      <w:r w:rsidRPr="00F87104">
        <w:rPr>
          <w:rFonts w:ascii="Times New Roman" w:hAnsi="Times New Roman" w:cs="Times New Roman"/>
          <w:b/>
          <w:color w:val="222222"/>
          <w:sz w:val="20"/>
          <w:szCs w:val="20"/>
        </w:rPr>
        <w:t>(Critical components and Concepts)</w:t>
      </w:r>
    </w:p>
    <w:p w14:paraId="1303CD0D" w14:textId="77777777" w:rsidR="00A351BC" w:rsidRPr="00F87104" w:rsidRDefault="00032BAA">
      <w:pPr>
        <w:numPr>
          <w:ilvl w:val="0"/>
          <w:numId w:val="14"/>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Immunoexcitotoxicity, Plasticity, Oxidative stress, Hemisphericity, Neurodegenerative disease, Photobiomodulation, Alleles, SNPs, Antibodies, Photons, Various lab markers.     </w:t>
      </w:r>
    </w:p>
    <w:p w14:paraId="13DE21C0" w14:textId="77777777" w:rsidR="00A351BC" w:rsidRPr="00F87104" w:rsidRDefault="00A351BC">
      <w:pPr>
        <w:rPr>
          <w:rFonts w:ascii="Times New Roman" w:hAnsi="Times New Roman" w:cs="Times New Roman"/>
          <w:color w:val="222222"/>
          <w:sz w:val="20"/>
          <w:szCs w:val="20"/>
        </w:rPr>
      </w:pPr>
    </w:p>
    <w:p w14:paraId="4BC174CD" w14:textId="77777777" w:rsidR="00A351BC" w:rsidRPr="00F87104" w:rsidRDefault="00032BAA">
      <w:p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b/>
          <w:color w:val="000000"/>
          <w:sz w:val="20"/>
          <w:szCs w:val="20"/>
        </w:rPr>
        <w:t>Targeted Clinicians:</w:t>
      </w:r>
      <w:r w:rsidRPr="00F87104">
        <w:rPr>
          <w:rFonts w:ascii="Times New Roman" w:hAnsi="Times New Roman" w:cs="Times New Roman"/>
          <w:color w:val="000000"/>
          <w:sz w:val="20"/>
          <w:szCs w:val="20"/>
        </w:rPr>
        <w:t> </w:t>
      </w:r>
    </w:p>
    <w:p w14:paraId="57AAC333" w14:textId="77777777" w:rsidR="00A351BC" w:rsidRPr="00F87104" w:rsidRDefault="00032BAA">
      <w:p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This program is designed for the following provider types: (Those with state licensure and or practice and utilization parameters of the material taught as defined within their individual scope of practice). </w:t>
      </w:r>
    </w:p>
    <w:p w14:paraId="4D0F567D" w14:textId="77777777" w:rsidR="00A351BC" w:rsidRPr="00F87104" w:rsidRDefault="00032BAA">
      <w:pPr>
        <w:numPr>
          <w:ilvl w:val="0"/>
          <w:numId w:val="11"/>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Doctors of Chiropractic </w:t>
      </w:r>
    </w:p>
    <w:p w14:paraId="6075E6E1" w14:textId="77777777" w:rsidR="00A351BC" w:rsidRPr="00F87104" w:rsidRDefault="00032BAA">
      <w:pPr>
        <w:numPr>
          <w:ilvl w:val="0"/>
          <w:numId w:val="11"/>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Medical Doctors </w:t>
      </w:r>
    </w:p>
    <w:p w14:paraId="26272E0A" w14:textId="77777777" w:rsidR="00A351BC" w:rsidRPr="00F87104" w:rsidRDefault="00032BAA">
      <w:pPr>
        <w:numPr>
          <w:ilvl w:val="0"/>
          <w:numId w:val="11"/>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Doctors of Osteopathy </w:t>
      </w:r>
    </w:p>
    <w:p w14:paraId="481E097A" w14:textId="77777777" w:rsidR="00A351BC" w:rsidRPr="00F87104" w:rsidRDefault="00032BAA">
      <w:pPr>
        <w:numPr>
          <w:ilvl w:val="0"/>
          <w:numId w:val="11"/>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Naturopaths </w:t>
      </w:r>
    </w:p>
    <w:p w14:paraId="435E70FA" w14:textId="77777777" w:rsidR="00A351BC" w:rsidRPr="00F87104" w:rsidRDefault="00032BAA">
      <w:pPr>
        <w:numPr>
          <w:ilvl w:val="0"/>
          <w:numId w:val="11"/>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Nurse Practitioners </w:t>
      </w:r>
    </w:p>
    <w:p w14:paraId="1920F0A1" w14:textId="77777777" w:rsidR="00A351BC" w:rsidRPr="00F87104" w:rsidRDefault="00032BAA">
      <w:pPr>
        <w:numPr>
          <w:ilvl w:val="0"/>
          <w:numId w:val="11"/>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Physician Assistants </w:t>
      </w:r>
    </w:p>
    <w:p w14:paraId="1FBC00BF" w14:textId="77777777" w:rsidR="00A351BC" w:rsidRPr="00F87104" w:rsidRDefault="00032BAA">
      <w:pPr>
        <w:numPr>
          <w:ilvl w:val="0"/>
          <w:numId w:val="11"/>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Registered Dieticians </w:t>
      </w:r>
    </w:p>
    <w:p w14:paraId="0A7551F8" w14:textId="77777777" w:rsidR="00A351BC" w:rsidRPr="00F87104" w:rsidRDefault="00032BAA">
      <w:pPr>
        <w:numPr>
          <w:ilvl w:val="0"/>
          <w:numId w:val="11"/>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Clinical Nutritionists </w:t>
      </w:r>
    </w:p>
    <w:p w14:paraId="51D63B82" w14:textId="77777777" w:rsidR="00A351BC" w:rsidRPr="00F87104" w:rsidRDefault="00032BAA">
      <w:pPr>
        <w:numPr>
          <w:ilvl w:val="0"/>
          <w:numId w:val="15"/>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Acupuncturists </w:t>
      </w:r>
    </w:p>
    <w:p w14:paraId="22B5CEB5" w14:textId="77777777" w:rsidR="00A351BC" w:rsidRPr="00F87104" w:rsidRDefault="00032BAA">
      <w:pPr>
        <w:numPr>
          <w:ilvl w:val="0"/>
          <w:numId w:val="15"/>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Oriental Medicine Providers </w:t>
      </w:r>
    </w:p>
    <w:p w14:paraId="33C7BF7C" w14:textId="77777777" w:rsidR="00A351BC" w:rsidRPr="00F87104" w:rsidRDefault="00032BAA">
      <w:pPr>
        <w:numPr>
          <w:ilvl w:val="0"/>
          <w:numId w:val="15"/>
        </w:numPr>
        <w:pBdr>
          <w:top w:val="nil"/>
          <w:left w:val="nil"/>
          <w:bottom w:val="nil"/>
          <w:right w:val="nil"/>
          <w:between w:val="nil"/>
        </w:pBdr>
        <w:ind w:left="720"/>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Certified Health Coaches </w:t>
      </w:r>
    </w:p>
    <w:p w14:paraId="1109C7B3" w14:textId="77777777" w:rsidR="007D1F77" w:rsidRPr="00F87104" w:rsidRDefault="007D1F77" w:rsidP="007D1F77">
      <w:p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b/>
          <w:color w:val="000000"/>
          <w:sz w:val="20"/>
          <w:szCs w:val="20"/>
          <w:u w:val="single"/>
        </w:rPr>
        <w:lastRenderedPageBreak/>
        <w:t>Instructional Methods: </w:t>
      </w:r>
      <w:r w:rsidRPr="00F87104">
        <w:rPr>
          <w:rFonts w:ascii="Times New Roman" w:hAnsi="Times New Roman" w:cs="Times New Roman"/>
          <w:color w:val="000000"/>
          <w:sz w:val="20"/>
          <w:szCs w:val="20"/>
        </w:rPr>
        <w:t> </w:t>
      </w:r>
    </w:p>
    <w:p w14:paraId="3F3ED4BA" w14:textId="77777777" w:rsidR="007D1F77" w:rsidRPr="00F87104" w:rsidRDefault="007D1F77" w:rsidP="007D1F77">
      <w:pPr>
        <w:pStyle w:val="ListParagraph"/>
        <w:numPr>
          <w:ilvl w:val="0"/>
          <w:numId w:val="21"/>
        </w:num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On stage presentation </w:t>
      </w:r>
    </w:p>
    <w:p w14:paraId="6873ADF9" w14:textId="77777777" w:rsidR="007D1F77" w:rsidRPr="00F87104" w:rsidRDefault="007D1F77" w:rsidP="007D1F77">
      <w:pPr>
        <w:pStyle w:val="ListParagraph"/>
        <w:numPr>
          <w:ilvl w:val="0"/>
          <w:numId w:val="21"/>
        </w:num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Video recording </w:t>
      </w:r>
    </w:p>
    <w:p w14:paraId="38E61175" w14:textId="77777777" w:rsidR="007D1F77" w:rsidRPr="00F87104" w:rsidRDefault="007D1F77" w:rsidP="007D1F77">
      <w:pPr>
        <w:pStyle w:val="ListParagraph"/>
        <w:numPr>
          <w:ilvl w:val="0"/>
          <w:numId w:val="21"/>
        </w:num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Power point usage </w:t>
      </w:r>
    </w:p>
    <w:p w14:paraId="6D3893D6" w14:textId="77777777" w:rsidR="007D1F77" w:rsidRPr="00F87104" w:rsidRDefault="007D1F77" w:rsidP="007D1F77">
      <w:pPr>
        <w:pStyle w:val="ListParagraph"/>
        <w:numPr>
          <w:ilvl w:val="0"/>
          <w:numId w:val="21"/>
        </w:num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Dry erase board usage </w:t>
      </w:r>
    </w:p>
    <w:p w14:paraId="2E8C6CE2" w14:textId="77777777" w:rsidR="007D1F77" w:rsidRPr="00F87104" w:rsidRDefault="007D1F77" w:rsidP="007D1F77">
      <w:pPr>
        <w:pStyle w:val="ListParagraph"/>
        <w:numPr>
          <w:ilvl w:val="0"/>
          <w:numId w:val="21"/>
        </w:num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Hands on demonstrations </w:t>
      </w:r>
    </w:p>
    <w:p w14:paraId="5C39E28E" w14:textId="77777777" w:rsidR="007D1F77" w:rsidRPr="00F87104" w:rsidRDefault="007D1F77" w:rsidP="007D1F77">
      <w:pPr>
        <w:pStyle w:val="ListParagraph"/>
        <w:numPr>
          <w:ilvl w:val="0"/>
          <w:numId w:val="21"/>
        </w:num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Q and A sessions </w:t>
      </w:r>
    </w:p>
    <w:p w14:paraId="33B5543A" w14:textId="77777777" w:rsidR="007D1F77" w:rsidRPr="00F87104" w:rsidRDefault="007D1F77" w:rsidP="007D1F77">
      <w:pPr>
        <w:pStyle w:val="ListParagraph"/>
        <w:numPr>
          <w:ilvl w:val="0"/>
          <w:numId w:val="21"/>
        </w:num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Case Studies </w:t>
      </w:r>
    </w:p>
    <w:p w14:paraId="4E6D0B76" w14:textId="77777777" w:rsidR="007D1F77" w:rsidRPr="00F87104" w:rsidRDefault="007D1F77" w:rsidP="007D1F77">
      <w:pPr>
        <w:pStyle w:val="ListParagraph"/>
        <w:numPr>
          <w:ilvl w:val="0"/>
          <w:numId w:val="21"/>
        </w:num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Notes available </w:t>
      </w:r>
    </w:p>
    <w:p w14:paraId="49A73FD8" w14:textId="77777777" w:rsidR="007D1F77" w:rsidRPr="00F87104" w:rsidRDefault="007D1F77" w:rsidP="007D1F77">
      <w:pPr>
        <w:pStyle w:val="ListParagraph"/>
        <w:numPr>
          <w:ilvl w:val="0"/>
          <w:numId w:val="21"/>
        </w:num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Post session testing for credit as set forth by the standards needed per hour. </w:t>
      </w:r>
    </w:p>
    <w:p w14:paraId="304924D3" w14:textId="77777777" w:rsidR="007D1F77" w:rsidRPr="00F87104" w:rsidRDefault="007D1F77" w:rsidP="007D1F77">
      <w:pPr>
        <w:pBdr>
          <w:top w:val="nil"/>
          <w:left w:val="nil"/>
          <w:bottom w:val="nil"/>
          <w:right w:val="nil"/>
          <w:between w:val="nil"/>
        </w:pBdr>
        <w:jc w:val="both"/>
        <w:rPr>
          <w:rFonts w:ascii="Times New Roman" w:hAnsi="Times New Roman" w:cs="Times New Roman"/>
          <w:color w:val="000000"/>
          <w:sz w:val="20"/>
          <w:szCs w:val="20"/>
        </w:rPr>
      </w:pPr>
    </w:p>
    <w:p w14:paraId="011686F3" w14:textId="77777777" w:rsidR="007D1F77" w:rsidRPr="00F87104" w:rsidRDefault="007D1F77" w:rsidP="007D1F77">
      <w:p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color w:val="000000"/>
          <w:sz w:val="20"/>
          <w:szCs w:val="20"/>
        </w:rPr>
        <w:t> </w:t>
      </w:r>
    </w:p>
    <w:p w14:paraId="5843D904" w14:textId="77777777" w:rsidR="007D1F77" w:rsidRPr="00F87104" w:rsidRDefault="007D1F77" w:rsidP="007D1F77">
      <w:pPr>
        <w:pBdr>
          <w:top w:val="nil"/>
          <w:left w:val="nil"/>
          <w:bottom w:val="nil"/>
          <w:right w:val="nil"/>
          <w:between w:val="nil"/>
        </w:pBdr>
        <w:jc w:val="both"/>
        <w:rPr>
          <w:rFonts w:ascii="Times New Roman" w:hAnsi="Times New Roman" w:cs="Times New Roman"/>
          <w:color w:val="000000"/>
          <w:sz w:val="20"/>
          <w:szCs w:val="20"/>
        </w:rPr>
      </w:pPr>
      <w:r w:rsidRPr="00F87104">
        <w:rPr>
          <w:rFonts w:ascii="Times New Roman" w:hAnsi="Times New Roman" w:cs="Times New Roman"/>
          <w:b/>
          <w:color w:val="000000"/>
          <w:sz w:val="20"/>
          <w:szCs w:val="20"/>
          <w:u w:val="single"/>
        </w:rPr>
        <w:t>Summary:</w:t>
      </w:r>
      <w:r w:rsidRPr="00F87104">
        <w:rPr>
          <w:rFonts w:ascii="Times New Roman" w:hAnsi="Times New Roman" w:cs="Times New Roman"/>
          <w:color w:val="000000"/>
          <w:sz w:val="20"/>
          <w:szCs w:val="20"/>
        </w:rPr>
        <w:t> </w:t>
      </w:r>
    </w:p>
    <w:p w14:paraId="3DE945E5" w14:textId="77777777" w:rsidR="007D1F77" w:rsidRPr="00F87104" w:rsidRDefault="007D1F77" w:rsidP="007D1F77">
      <w:pPr>
        <w:pBdr>
          <w:top w:val="nil"/>
          <w:left w:val="nil"/>
          <w:bottom w:val="nil"/>
          <w:right w:val="nil"/>
          <w:between w:val="nil"/>
        </w:pBdr>
        <w:rPr>
          <w:rFonts w:ascii="Times New Roman" w:hAnsi="Times New Roman" w:cs="Times New Roman"/>
          <w:color w:val="000000"/>
          <w:sz w:val="20"/>
          <w:szCs w:val="20"/>
        </w:rPr>
      </w:pPr>
      <w:r w:rsidRPr="00F87104">
        <w:rPr>
          <w:rFonts w:ascii="Times New Roman" w:hAnsi="Times New Roman" w:cs="Times New Roman"/>
          <w:color w:val="000000"/>
          <w:sz w:val="20"/>
          <w:szCs w:val="20"/>
        </w:rPr>
        <w:t xml:space="preserve">The information in this lecture is designed to connect the practitioner to real life topics with material and concepts that are rapidly evolving.  Many components of this lecture can be coupled with overall health and wellness which is supported by appropriate laboratory testing for the aforementioned topics. Students will have notes and references to utilize as a study tool along with cases and access to instructions during session times.  </w:t>
      </w:r>
    </w:p>
    <w:p w14:paraId="392B4685" w14:textId="77777777" w:rsidR="007D1F77" w:rsidRPr="00F87104" w:rsidRDefault="007D1F77" w:rsidP="007D1F77">
      <w:pPr>
        <w:pBdr>
          <w:top w:val="nil"/>
          <w:left w:val="nil"/>
          <w:bottom w:val="nil"/>
          <w:right w:val="nil"/>
          <w:between w:val="nil"/>
        </w:pBdr>
        <w:jc w:val="both"/>
        <w:rPr>
          <w:rFonts w:ascii="Times New Roman" w:hAnsi="Times New Roman" w:cs="Times New Roman"/>
          <w:color w:val="000000"/>
          <w:sz w:val="20"/>
          <w:szCs w:val="20"/>
        </w:rPr>
      </w:pPr>
    </w:p>
    <w:p w14:paraId="4C3D3E79" w14:textId="77777777" w:rsidR="00A351BC" w:rsidRPr="00F87104" w:rsidRDefault="00A351BC">
      <w:pPr>
        <w:pBdr>
          <w:top w:val="nil"/>
          <w:left w:val="nil"/>
          <w:bottom w:val="nil"/>
          <w:right w:val="nil"/>
          <w:between w:val="nil"/>
        </w:pBdr>
        <w:jc w:val="both"/>
        <w:rPr>
          <w:rFonts w:ascii="Times New Roman" w:hAnsi="Times New Roman" w:cs="Times New Roman"/>
          <w:color w:val="000000"/>
          <w:sz w:val="20"/>
          <w:szCs w:val="20"/>
        </w:rPr>
      </w:pPr>
    </w:p>
    <w:p w14:paraId="64927FD9" w14:textId="77777777" w:rsidR="00A351BC" w:rsidRPr="00F87104" w:rsidRDefault="00032BAA">
      <w:pPr>
        <w:pBdr>
          <w:top w:val="nil"/>
          <w:left w:val="nil"/>
          <w:bottom w:val="nil"/>
          <w:right w:val="nil"/>
          <w:between w:val="nil"/>
        </w:pBdr>
        <w:rPr>
          <w:rFonts w:ascii="Times New Roman" w:hAnsi="Times New Roman" w:cs="Times New Roman"/>
          <w:color w:val="000000"/>
        </w:rPr>
      </w:pPr>
      <w:r w:rsidRPr="00F87104">
        <w:rPr>
          <w:rFonts w:ascii="Times New Roman" w:hAnsi="Times New Roman" w:cs="Times New Roman"/>
          <w:b/>
          <w:color w:val="000000"/>
        </w:rPr>
        <w:t>Program Outline: </w:t>
      </w:r>
    </w:p>
    <w:p w14:paraId="633F8424" w14:textId="192E9A50" w:rsidR="00A351BC" w:rsidRPr="00F87104" w:rsidRDefault="004440E0">
      <w:pPr>
        <w:spacing w:before="280" w:after="280"/>
        <w:rPr>
          <w:rFonts w:ascii="Times New Roman" w:hAnsi="Times New Roman" w:cs="Times New Roman"/>
          <w:b/>
          <w:color w:val="222222"/>
        </w:rPr>
      </w:pPr>
      <w:r w:rsidRPr="00F87104">
        <w:rPr>
          <w:rFonts w:ascii="Times New Roman" w:hAnsi="Times New Roman" w:cs="Times New Roman"/>
          <w:b/>
          <w:color w:val="222222"/>
        </w:rPr>
        <w:t>Saturday</w:t>
      </w:r>
    </w:p>
    <w:p w14:paraId="16BD50E4" w14:textId="77777777" w:rsidR="00A351BC" w:rsidRPr="00F87104" w:rsidRDefault="00032BAA" w:rsidP="00B51CCA">
      <w:pPr>
        <w:pBdr>
          <w:top w:val="nil"/>
          <w:left w:val="nil"/>
          <w:bottom w:val="nil"/>
          <w:right w:val="nil"/>
          <w:between w:val="nil"/>
        </w:pBdr>
        <w:spacing w:before="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 xml:space="preserve">7:30-8:00 </w:t>
      </w:r>
      <w:r w:rsidR="00A036C2" w:rsidRPr="00F87104">
        <w:rPr>
          <w:rFonts w:ascii="Times New Roman" w:hAnsi="Times New Roman" w:cs="Times New Roman"/>
          <w:b/>
          <w:color w:val="222222"/>
          <w:sz w:val="20"/>
          <w:szCs w:val="20"/>
        </w:rPr>
        <w:tab/>
      </w:r>
      <w:r w:rsidRPr="00F87104">
        <w:rPr>
          <w:rFonts w:ascii="Times New Roman" w:hAnsi="Times New Roman" w:cs="Times New Roman"/>
          <w:b/>
          <w:color w:val="222222"/>
          <w:sz w:val="20"/>
          <w:szCs w:val="20"/>
        </w:rPr>
        <w:t>Registration: Meet and greet and find your seat</w:t>
      </w:r>
    </w:p>
    <w:p w14:paraId="77D4FF4F" w14:textId="77777777" w:rsidR="00A351BC" w:rsidRPr="00F87104" w:rsidRDefault="00032BAA">
      <w:pPr>
        <w:pBdr>
          <w:top w:val="nil"/>
          <w:left w:val="nil"/>
          <w:bottom w:val="nil"/>
          <w:right w:val="nil"/>
          <w:between w:val="nil"/>
        </w:pBdr>
        <w:ind w:left="720" w:hanging="720"/>
        <w:rPr>
          <w:rFonts w:ascii="Times New Roman" w:hAnsi="Times New Roman" w:cs="Times New Roman"/>
          <w:color w:val="222222"/>
          <w:sz w:val="20"/>
          <w:szCs w:val="20"/>
        </w:rPr>
      </w:pPr>
      <w:r w:rsidRPr="00F87104">
        <w:rPr>
          <w:rFonts w:ascii="Times New Roman" w:hAnsi="Times New Roman" w:cs="Times New Roman"/>
          <w:color w:val="222222"/>
          <w:sz w:val="20"/>
          <w:szCs w:val="20"/>
        </w:rPr>
        <w:t> </w:t>
      </w:r>
    </w:p>
    <w:p w14:paraId="41537AA7" w14:textId="65142218" w:rsidR="00A351BC" w:rsidRPr="00F87104" w:rsidRDefault="003E3AED" w:rsidP="00B51CCA">
      <w:pPr>
        <w:pBdr>
          <w:top w:val="nil"/>
          <w:left w:val="nil"/>
          <w:bottom w:val="nil"/>
          <w:right w:val="nil"/>
          <w:between w:val="nil"/>
        </w:pBdr>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8:00-9:30am</w:t>
      </w:r>
      <w:r w:rsidRPr="00F87104">
        <w:rPr>
          <w:rFonts w:ascii="Times New Roman" w:hAnsi="Times New Roman" w:cs="Times New Roman"/>
          <w:b/>
          <w:color w:val="222222"/>
          <w:sz w:val="20"/>
          <w:szCs w:val="20"/>
        </w:rPr>
        <w:tab/>
        <w:t>Dr. Berry</w:t>
      </w:r>
    </w:p>
    <w:p w14:paraId="3A95235F" w14:textId="77777777" w:rsidR="00A351BC" w:rsidRPr="00F87104" w:rsidRDefault="00032BAA" w:rsidP="00A036C2">
      <w:pPr>
        <w:numPr>
          <w:ilvl w:val="2"/>
          <w:numId w:val="25"/>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Weekend outline summary (Flow of material)</w:t>
      </w:r>
    </w:p>
    <w:p w14:paraId="067AD107" w14:textId="77777777" w:rsidR="00A351BC" w:rsidRPr="00F87104" w:rsidRDefault="00032BAA" w:rsidP="00A036C2">
      <w:pPr>
        <w:numPr>
          <w:ilvl w:val="2"/>
          <w:numId w:val="25"/>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Basic neurophysiology. Understanding the mechanism of healthy neuronal function and the foundation for neuroplasticity.</w:t>
      </w:r>
    </w:p>
    <w:p w14:paraId="30B1A108" w14:textId="77777777" w:rsidR="00A351BC" w:rsidRPr="00F87104" w:rsidRDefault="00032BAA" w:rsidP="00A036C2">
      <w:pPr>
        <w:numPr>
          <w:ilvl w:val="2"/>
          <w:numId w:val="25"/>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Neuropathophysiology.  Understanding the mechanisms of neuronal disruption and cell death.</w:t>
      </w:r>
    </w:p>
    <w:p w14:paraId="297B7F2F" w14:textId="77777777" w:rsidR="00A351BC" w:rsidRPr="00F87104" w:rsidRDefault="00032BAA" w:rsidP="00A036C2">
      <w:pPr>
        <w:numPr>
          <w:ilvl w:val="2"/>
          <w:numId w:val="25"/>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How lasers influence the common causes of neuronal injury and degeneration.</w:t>
      </w:r>
    </w:p>
    <w:p w14:paraId="01CAE84C" w14:textId="77777777" w:rsidR="00A351BC" w:rsidRPr="00F87104" w:rsidRDefault="00032BAA" w:rsidP="00A036C2">
      <w:pPr>
        <w:numPr>
          <w:ilvl w:val="2"/>
          <w:numId w:val="25"/>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How low-level lasers can influence the nervous system.</w:t>
      </w:r>
    </w:p>
    <w:p w14:paraId="603E6441" w14:textId="44842200" w:rsidR="00A351BC" w:rsidRPr="00F87104" w:rsidRDefault="00032BAA" w:rsidP="00A036C2">
      <w:pPr>
        <w:numPr>
          <w:ilvl w:val="2"/>
          <w:numId w:val="25"/>
        </w:numPr>
        <w:pBdr>
          <w:top w:val="nil"/>
          <w:left w:val="nil"/>
          <w:bottom w:val="nil"/>
          <w:right w:val="nil"/>
          <w:between w:val="nil"/>
        </w:pBdr>
        <w:spacing w:after="280"/>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Introduction to </w:t>
      </w:r>
      <w:r w:rsidR="00A500A6" w:rsidRPr="00F87104">
        <w:rPr>
          <w:rFonts w:ascii="Times New Roman" w:hAnsi="Times New Roman" w:cs="Times New Roman"/>
          <w:color w:val="222222"/>
          <w:sz w:val="20"/>
          <w:szCs w:val="20"/>
        </w:rPr>
        <w:t>inflammation</w:t>
      </w:r>
    </w:p>
    <w:p w14:paraId="5498F7BE" w14:textId="710827E0" w:rsidR="00A351BC" w:rsidRPr="00F87104" w:rsidRDefault="00767AE5">
      <w:pPr>
        <w:spacing w:before="280"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9:30-9:45</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Break</w:t>
      </w:r>
    </w:p>
    <w:p w14:paraId="0B65149C" w14:textId="3205B69A" w:rsidR="00A351BC" w:rsidRPr="00F87104" w:rsidRDefault="00466ADC" w:rsidP="00B51CCA">
      <w:pPr>
        <w:pBdr>
          <w:top w:val="nil"/>
          <w:left w:val="nil"/>
          <w:bottom w:val="nil"/>
          <w:right w:val="nil"/>
          <w:between w:val="nil"/>
        </w:pBdr>
        <w:spacing w:before="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9:45-10:45am</w:t>
      </w:r>
      <w:r w:rsidRPr="00F87104">
        <w:rPr>
          <w:rFonts w:ascii="Times New Roman" w:hAnsi="Times New Roman" w:cs="Times New Roman"/>
          <w:b/>
          <w:color w:val="222222"/>
          <w:sz w:val="20"/>
          <w:szCs w:val="20"/>
        </w:rPr>
        <w:tab/>
        <w:t>Dr. Brock</w:t>
      </w:r>
    </w:p>
    <w:p w14:paraId="3FD45D51" w14:textId="77777777" w:rsidR="00A351BC" w:rsidRPr="00F87104" w:rsidRDefault="00032BAA" w:rsidP="00A036C2">
      <w:pPr>
        <w:numPr>
          <w:ilvl w:val="2"/>
          <w:numId w:val="27"/>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Basic genes involved in neurological disorders</w:t>
      </w:r>
    </w:p>
    <w:p w14:paraId="510CD28D" w14:textId="77777777" w:rsidR="00A351BC" w:rsidRPr="00F87104" w:rsidRDefault="00032BAA" w:rsidP="00A036C2">
      <w:pPr>
        <w:numPr>
          <w:ilvl w:val="2"/>
          <w:numId w:val="27"/>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Basic antibody categories involved in neurological disorders</w:t>
      </w:r>
    </w:p>
    <w:p w14:paraId="73F65B2A" w14:textId="77777777" w:rsidR="00A351BC" w:rsidRPr="00F87104" w:rsidRDefault="00032BAA" w:rsidP="00A036C2">
      <w:pPr>
        <w:numPr>
          <w:ilvl w:val="2"/>
          <w:numId w:val="27"/>
        </w:numPr>
        <w:pBdr>
          <w:top w:val="nil"/>
          <w:left w:val="nil"/>
          <w:bottom w:val="nil"/>
          <w:right w:val="nil"/>
          <w:between w:val="nil"/>
        </w:pBdr>
        <w:rPr>
          <w:rFonts w:ascii="Times New Roman" w:hAnsi="Times New Roman" w:cs="Times New Roman"/>
          <w:b/>
          <w:color w:val="222222"/>
          <w:sz w:val="20"/>
          <w:szCs w:val="20"/>
        </w:rPr>
      </w:pPr>
      <w:r w:rsidRPr="00F87104">
        <w:rPr>
          <w:rFonts w:ascii="Times New Roman" w:hAnsi="Times New Roman" w:cs="Times New Roman"/>
          <w:color w:val="222222"/>
          <w:sz w:val="20"/>
          <w:szCs w:val="20"/>
        </w:rPr>
        <w:t>Introduction to Mast cells and Inflammation (With genetics, antibodies and MHC switching)  </w:t>
      </w:r>
    </w:p>
    <w:p w14:paraId="4D144255" w14:textId="2E0B7923" w:rsidR="00A351BC" w:rsidRPr="00F87104" w:rsidRDefault="00A500A6" w:rsidP="00A036C2">
      <w:pPr>
        <w:numPr>
          <w:ilvl w:val="2"/>
          <w:numId w:val="27"/>
        </w:numPr>
        <w:pBdr>
          <w:top w:val="nil"/>
          <w:left w:val="nil"/>
          <w:bottom w:val="nil"/>
          <w:right w:val="nil"/>
          <w:between w:val="nil"/>
        </w:pBdr>
        <w:spacing w:after="280"/>
        <w:rPr>
          <w:rFonts w:ascii="Times New Roman" w:hAnsi="Times New Roman" w:cs="Times New Roman"/>
          <w:b/>
          <w:color w:val="222222"/>
          <w:sz w:val="20"/>
          <w:szCs w:val="20"/>
        </w:rPr>
      </w:pPr>
      <w:bookmarkStart w:id="0" w:name="_Hlk86327146"/>
      <w:r w:rsidRPr="00F87104">
        <w:rPr>
          <w:rFonts w:ascii="Times New Roman" w:hAnsi="Times New Roman" w:cs="Times New Roman"/>
          <w:color w:val="222222"/>
          <w:sz w:val="20"/>
          <w:szCs w:val="20"/>
        </w:rPr>
        <w:t>Cardiovascular markers and influences of blood markers on brain</w:t>
      </w:r>
    </w:p>
    <w:bookmarkEnd w:id="0"/>
    <w:p w14:paraId="1D419C42" w14:textId="6D2FEB95" w:rsidR="00A351BC" w:rsidRPr="00F87104" w:rsidRDefault="006F6AF6">
      <w:pPr>
        <w:spacing w:before="280"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10:45-11:00am</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Break</w:t>
      </w:r>
    </w:p>
    <w:p w14:paraId="79146099" w14:textId="38011255" w:rsidR="00A351BC" w:rsidRPr="00F87104" w:rsidRDefault="00A02BD9" w:rsidP="00B51CCA">
      <w:pPr>
        <w:pBdr>
          <w:top w:val="nil"/>
          <w:left w:val="nil"/>
          <w:bottom w:val="nil"/>
          <w:right w:val="nil"/>
          <w:between w:val="nil"/>
        </w:pBdr>
        <w:spacing w:before="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11:00-12:00pm</w:t>
      </w:r>
      <w:r w:rsidRPr="00F87104">
        <w:rPr>
          <w:rFonts w:ascii="Times New Roman" w:hAnsi="Times New Roman" w:cs="Times New Roman"/>
          <w:b/>
          <w:color w:val="222222"/>
          <w:sz w:val="20"/>
          <w:szCs w:val="20"/>
        </w:rPr>
        <w:tab/>
        <w:t>Dr. Berry</w:t>
      </w:r>
      <w:r w:rsidR="00032BAA" w:rsidRPr="00F87104">
        <w:rPr>
          <w:rFonts w:ascii="Times New Roman" w:hAnsi="Times New Roman" w:cs="Times New Roman"/>
          <w:b/>
          <w:color w:val="222222"/>
          <w:sz w:val="20"/>
          <w:szCs w:val="20"/>
        </w:rPr>
        <w:t xml:space="preserve"> (</w:t>
      </w:r>
      <w:r w:rsidR="00A500A6" w:rsidRPr="00F87104">
        <w:rPr>
          <w:rFonts w:ascii="Times New Roman" w:hAnsi="Times New Roman" w:cs="Times New Roman"/>
          <w:b/>
          <w:color w:val="222222"/>
          <w:sz w:val="20"/>
          <w:szCs w:val="20"/>
        </w:rPr>
        <w:t>Documentation, Technique</w:t>
      </w:r>
      <w:r w:rsidR="00032BAA" w:rsidRPr="00F87104">
        <w:rPr>
          <w:rFonts w:ascii="Times New Roman" w:hAnsi="Times New Roman" w:cs="Times New Roman"/>
          <w:b/>
          <w:color w:val="222222"/>
          <w:sz w:val="20"/>
          <w:szCs w:val="20"/>
        </w:rPr>
        <w:t>)</w:t>
      </w:r>
    </w:p>
    <w:p w14:paraId="71A23B76" w14:textId="6396377F" w:rsidR="00A500A6" w:rsidRPr="00F87104" w:rsidRDefault="00A500A6" w:rsidP="00A500A6">
      <w:pPr>
        <w:numPr>
          <w:ilvl w:val="2"/>
          <w:numId w:val="28"/>
        </w:numPr>
        <w:pBdr>
          <w:top w:val="nil"/>
          <w:left w:val="nil"/>
          <w:bottom w:val="nil"/>
          <w:right w:val="nil"/>
          <w:between w:val="nil"/>
        </w:pBdr>
        <w:spacing w:after="280"/>
        <w:rPr>
          <w:rFonts w:ascii="Times New Roman" w:hAnsi="Times New Roman" w:cs="Times New Roman"/>
          <w:color w:val="222222"/>
          <w:sz w:val="20"/>
          <w:szCs w:val="20"/>
        </w:rPr>
      </w:pPr>
      <w:r w:rsidRPr="00F87104">
        <w:rPr>
          <w:rFonts w:ascii="Times New Roman" w:hAnsi="Times New Roman" w:cs="Times New Roman"/>
          <w:color w:val="222222"/>
          <w:sz w:val="20"/>
          <w:szCs w:val="20"/>
        </w:rPr>
        <w:t>Neurological examination and clinical applications</w:t>
      </w:r>
    </w:p>
    <w:p w14:paraId="13D9EB9E" w14:textId="59D91541" w:rsidR="00A351BC" w:rsidRPr="00F87104" w:rsidRDefault="005B1428">
      <w:pPr>
        <w:spacing w:before="280"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12:00-1:00pm</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Lunch</w:t>
      </w:r>
    </w:p>
    <w:p w14:paraId="2A30B8D5" w14:textId="4F7CC252" w:rsidR="00A351BC" w:rsidRPr="00F87104" w:rsidRDefault="00467697" w:rsidP="00B51CCA">
      <w:pPr>
        <w:pBdr>
          <w:top w:val="nil"/>
          <w:left w:val="nil"/>
          <w:bottom w:val="nil"/>
          <w:right w:val="nil"/>
          <w:between w:val="nil"/>
        </w:pBdr>
        <w:spacing w:before="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1:00-2:15pm</w:t>
      </w:r>
      <w:r w:rsidRPr="00F87104">
        <w:rPr>
          <w:rFonts w:ascii="Times New Roman" w:hAnsi="Times New Roman" w:cs="Times New Roman"/>
          <w:b/>
          <w:color w:val="222222"/>
          <w:sz w:val="20"/>
          <w:szCs w:val="20"/>
        </w:rPr>
        <w:tab/>
        <w:t>Dr. Brock</w:t>
      </w:r>
    </w:p>
    <w:p w14:paraId="2A2F9235" w14:textId="77777777" w:rsidR="00A351BC" w:rsidRPr="00F87104" w:rsidRDefault="00032BAA" w:rsidP="00A036C2">
      <w:pPr>
        <w:numPr>
          <w:ilvl w:val="2"/>
          <w:numId w:val="29"/>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Pulling together genetic and antibody markers</w:t>
      </w:r>
    </w:p>
    <w:p w14:paraId="7E08B206" w14:textId="77777777" w:rsidR="00A351BC" w:rsidRPr="00F87104" w:rsidRDefault="00032BAA" w:rsidP="00A036C2">
      <w:pPr>
        <w:numPr>
          <w:ilvl w:val="2"/>
          <w:numId w:val="29"/>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Incorporating metabolic function into genetic and metabolic markers</w:t>
      </w:r>
    </w:p>
    <w:p w14:paraId="451DB767" w14:textId="77777777" w:rsidR="00C624F4" w:rsidRDefault="00032BAA" w:rsidP="00A500A6">
      <w:pPr>
        <w:numPr>
          <w:ilvl w:val="2"/>
          <w:numId w:val="29"/>
        </w:numPr>
        <w:pBdr>
          <w:top w:val="nil"/>
          <w:left w:val="nil"/>
          <w:bottom w:val="nil"/>
          <w:right w:val="nil"/>
          <w:between w:val="nil"/>
        </w:pBdr>
        <w:spacing w:after="280"/>
        <w:rPr>
          <w:rFonts w:ascii="Times New Roman" w:hAnsi="Times New Roman" w:cs="Times New Roman"/>
          <w:color w:val="222222"/>
          <w:sz w:val="20"/>
          <w:szCs w:val="20"/>
        </w:rPr>
      </w:pPr>
      <w:r w:rsidRPr="00C624F4">
        <w:rPr>
          <w:rFonts w:ascii="Times New Roman" w:hAnsi="Times New Roman" w:cs="Times New Roman"/>
          <w:color w:val="222222"/>
          <w:sz w:val="20"/>
          <w:szCs w:val="20"/>
        </w:rPr>
        <w:t>Reading labs and documenting findings</w:t>
      </w:r>
    </w:p>
    <w:p w14:paraId="3C4D5400" w14:textId="73920D86" w:rsidR="00A500A6" w:rsidRPr="00C624F4" w:rsidRDefault="00A500A6" w:rsidP="00A500A6">
      <w:pPr>
        <w:numPr>
          <w:ilvl w:val="2"/>
          <w:numId w:val="29"/>
        </w:numPr>
        <w:pBdr>
          <w:top w:val="nil"/>
          <w:left w:val="nil"/>
          <w:bottom w:val="nil"/>
          <w:right w:val="nil"/>
          <w:between w:val="nil"/>
        </w:pBdr>
        <w:spacing w:after="280"/>
        <w:rPr>
          <w:rFonts w:ascii="Times New Roman" w:hAnsi="Times New Roman" w:cs="Times New Roman"/>
          <w:color w:val="222222"/>
          <w:sz w:val="20"/>
          <w:szCs w:val="20"/>
        </w:rPr>
      </w:pPr>
      <w:r w:rsidRPr="00C624F4">
        <w:rPr>
          <w:rFonts w:ascii="Times New Roman" w:hAnsi="Times New Roman" w:cs="Times New Roman"/>
          <w:color w:val="222222"/>
          <w:sz w:val="20"/>
          <w:szCs w:val="20"/>
        </w:rPr>
        <w:t xml:space="preserve">Blood sugar, Leptins, adiponectins genetics, antibodies, </w:t>
      </w:r>
      <w:bookmarkStart w:id="1" w:name="_Hlk86327300"/>
      <w:r w:rsidRPr="00C624F4">
        <w:rPr>
          <w:rFonts w:ascii="Times New Roman" w:hAnsi="Times New Roman" w:cs="Times New Roman"/>
          <w:color w:val="222222"/>
          <w:sz w:val="20"/>
          <w:szCs w:val="20"/>
        </w:rPr>
        <w:t>labs and brain function</w:t>
      </w:r>
      <w:bookmarkEnd w:id="1"/>
    </w:p>
    <w:p w14:paraId="68E88BF0" w14:textId="77777777" w:rsidR="00A500A6" w:rsidRPr="00F87104" w:rsidRDefault="00A500A6" w:rsidP="00A036C2">
      <w:pPr>
        <w:numPr>
          <w:ilvl w:val="2"/>
          <w:numId w:val="29"/>
        </w:numPr>
        <w:pBdr>
          <w:top w:val="nil"/>
          <w:left w:val="nil"/>
          <w:bottom w:val="nil"/>
          <w:right w:val="nil"/>
          <w:between w:val="nil"/>
        </w:pBdr>
        <w:spacing w:after="280"/>
        <w:rPr>
          <w:rFonts w:ascii="Times New Roman" w:hAnsi="Times New Roman" w:cs="Times New Roman"/>
          <w:color w:val="222222"/>
          <w:sz w:val="20"/>
          <w:szCs w:val="20"/>
        </w:rPr>
      </w:pPr>
    </w:p>
    <w:p w14:paraId="2C45000A" w14:textId="7D86E063" w:rsidR="00A351BC" w:rsidRPr="00F87104" w:rsidRDefault="00657EB9">
      <w:pPr>
        <w:spacing w:before="280"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2:15-2:25pm</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Break</w:t>
      </w:r>
    </w:p>
    <w:p w14:paraId="6E1BC570" w14:textId="42BE3BC8" w:rsidR="00A500A6" w:rsidRPr="00F87104" w:rsidRDefault="001C07AE" w:rsidP="00A500A6">
      <w:pPr>
        <w:spacing w:before="280"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2:25-4:15pm</w:t>
      </w:r>
      <w:r w:rsidRPr="00F87104">
        <w:rPr>
          <w:rFonts w:ascii="Times New Roman" w:hAnsi="Times New Roman" w:cs="Times New Roman"/>
          <w:b/>
          <w:color w:val="222222"/>
          <w:sz w:val="20"/>
          <w:szCs w:val="20"/>
        </w:rPr>
        <w:tab/>
      </w:r>
      <w:r w:rsidR="00A500A6" w:rsidRPr="00F87104">
        <w:rPr>
          <w:rFonts w:ascii="Times New Roman" w:hAnsi="Times New Roman" w:cs="Times New Roman"/>
          <w:b/>
          <w:color w:val="222222"/>
          <w:sz w:val="20"/>
          <w:szCs w:val="20"/>
        </w:rPr>
        <w:t>Dr. Berry (Ethics)</w:t>
      </w:r>
    </w:p>
    <w:p w14:paraId="3A724DE7" w14:textId="77777777" w:rsidR="00A500A6" w:rsidRPr="00F87104" w:rsidRDefault="00A500A6" w:rsidP="00A500A6">
      <w:pPr>
        <w:numPr>
          <w:ilvl w:val="2"/>
          <w:numId w:val="30"/>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 xml:space="preserve">Lab testing using objective </w:t>
      </w:r>
      <w:bookmarkStart w:id="2" w:name="_Hlk86327358"/>
      <w:r w:rsidRPr="00F87104">
        <w:rPr>
          <w:rFonts w:ascii="Times New Roman" w:hAnsi="Times New Roman" w:cs="Times New Roman"/>
          <w:color w:val="222222"/>
          <w:sz w:val="20"/>
          <w:szCs w:val="20"/>
        </w:rPr>
        <w:t xml:space="preserve">biomarkers for assessment of barrier system </w:t>
      </w:r>
      <w:bookmarkEnd w:id="2"/>
      <w:r w:rsidRPr="00F87104">
        <w:rPr>
          <w:rFonts w:ascii="Times New Roman" w:hAnsi="Times New Roman" w:cs="Times New Roman"/>
          <w:color w:val="222222"/>
          <w:sz w:val="20"/>
          <w:szCs w:val="20"/>
        </w:rPr>
        <w:t>(When to test: Ethics Section)</w:t>
      </w:r>
    </w:p>
    <w:p w14:paraId="14D6E012" w14:textId="581CB2BC" w:rsidR="00A351BC" w:rsidRPr="00F87104" w:rsidRDefault="00A500A6" w:rsidP="00A500A6">
      <w:pPr>
        <w:numPr>
          <w:ilvl w:val="2"/>
          <w:numId w:val="30"/>
        </w:numPr>
        <w:pBdr>
          <w:top w:val="nil"/>
          <w:left w:val="nil"/>
          <w:bottom w:val="nil"/>
          <w:right w:val="nil"/>
          <w:between w:val="nil"/>
        </w:pBdr>
        <w:spacing w:after="280"/>
        <w:rPr>
          <w:rFonts w:ascii="Times New Roman" w:hAnsi="Times New Roman" w:cs="Times New Roman"/>
          <w:color w:val="222222"/>
          <w:sz w:val="20"/>
          <w:szCs w:val="20"/>
        </w:rPr>
      </w:pPr>
      <w:r w:rsidRPr="00F87104">
        <w:rPr>
          <w:rFonts w:ascii="Times New Roman" w:hAnsi="Times New Roman" w:cs="Times New Roman"/>
          <w:color w:val="222222"/>
          <w:sz w:val="20"/>
          <w:szCs w:val="20"/>
        </w:rPr>
        <w:t>Using Chiropractic, nutrition and Laser techniques for facilitating recovery of damaged barrier systems, inflammation reduction and glial priming.</w:t>
      </w:r>
    </w:p>
    <w:p w14:paraId="125EBFA6" w14:textId="6345242D" w:rsidR="00A351BC" w:rsidRPr="00F87104" w:rsidRDefault="0082393D">
      <w:pPr>
        <w:spacing w:before="280"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4:15-4:30pm</w:t>
      </w:r>
      <w:r w:rsidRPr="00F87104">
        <w:rPr>
          <w:rFonts w:ascii="Times New Roman" w:hAnsi="Times New Roman" w:cs="Times New Roman"/>
          <w:b/>
          <w:color w:val="222222"/>
          <w:sz w:val="20"/>
          <w:szCs w:val="20"/>
        </w:rPr>
        <w:tab/>
        <w:t>Break</w:t>
      </w:r>
    </w:p>
    <w:p w14:paraId="57EB041E" w14:textId="0D3774F2" w:rsidR="00A351BC" w:rsidRPr="00F87104" w:rsidRDefault="005F1666" w:rsidP="00B51CCA">
      <w:pPr>
        <w:pBdr>
          <w:top w:val="nil"/>
          <w:left w:val="nil"/>
          <w:bottom w:val="nil"/>
          <w:right w:val="nil"/>
          <w:between w:val="nil"/>
        </w:pBdr>
        <w:spacing w:before="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4:30-5:45pm</w:t>
      </w:r>
      <w:r w:rsidRPr="00F87104">
        <w:rPr>
          <w:rFonts w:ascii="Times New Roman" w:hAnsi="Times New Roman" w:cs="Times New Roman"/>
          <w:b/>
          <w:color w:val="222222"/>
          <w:sz w:val="20"/>
          <w:szCs w:val="20"/>
        </w:rPr>
        <w:tab/>
        <w:t>Dr. Brock</w:t>
      </w:r>
    </w:p>
    <w:p w14:paraId="6E09D14E" w14:textId="77777777" w:rsidR="00A351BC" w:rsidRPr="00F87104" w:rsidRDefault="00032BAA" w:rsidP="005125B9">
      <w:pPr>
        <w:numPr>
          <w:ilvl w:val="2"/>
          <w:numId w:val="31"/>
        </w:numPr>
        <w:pBdr>
          <w:top w:val="nil"/>
          <w:left w:val="nil"/>
          <w:bottom w:val="nil"/>
          <w:right w:val="nil"/>
          <w:between w:val="nil"/>
        </w:pBdr>
        <w:rPr>
          <w:rFonts w:ascii="Times New Roman" w:hAnsi="Times New Roman" w:cs="Times New Roman"/>
          <w:b/>
          <w:color w:val="222222"/>
          <w:sz w:val="20"/>
          <w:szCs w:val="20"/>
        </w:rPr>
      </w:pPr>
      <w:r w:rsidRPr="00F87104">
        <w:rPr>
          <w:rFonts w:ascii="Times New Roman" w:hAnsi="Times New Roman" w:cs="Times New Roman"/>
          <w:color w:val="222222"/>
          <w:sz w:val="20"/>
          <w:szCs w:val="20"/>
        </w:rPr>
        <w:t>Specific nutritional and neurological applications for the most common neurological and conditions.</w:t>
      </w:r>
    </w:p>
    <w:p w14:paraId="09AF9872" w14:textId="77777777" w:rsidR="00A351BC" w:rsidRPr="00F87104" w:rsidRDefault="00032BAA" w:rsidP="005125B9">
      <w:pPr>
        <w:numPr>
          <w:ilvl w:val="2"/>
          <w:numId w:val="31"/>
        </w:numPr>
        <w:pBdr>
          <w:top w:val="nil"/>
          <w:left w:val="nil"/>
          <w:bottom w:val="nil"/>
          <w:right w:val="nil"/>
          <w:between w:val="nil"/>
        </w:pBdr>
        <w:rPr>
          <w:rFonts w:ascii="Times New Roman" w:hAnsi="Times New Roman" w:cs="Times New Roman"/>
          <w:b/>
          <w:color w:val="222222"/>
          <w:sz w:val="20"/>
          <w:szCs w:val="20"/>
        </w:rPr>
      </w:pPr>
      <w:r w:rsidRPr="00F87104">
        <w:rPr>
          <w:rFonts w:ascii="Times New Roman" w:hAnsi="Times New Roman" w:cs="Times New Roman"/>
          <w:color w:val="222222"/>
          <w:sz w:val="20"/>
          <w:szCs w:val="20"/>
        </w:rPr>
        <w:t>Demonstration on how the spine and other neuro-musculoskeletal conditions manifest with Tx.</w:t>
      </w:r>
    </w:p>
    <w:p w14:paraId="307811AD" w14:textId="77777777" w:rsidR="00A351BC" w:rsidRPr="00F87104" w:rsidRDefault="00032BAA" w:rsidP="005125B9">
      <w:pPr>
        <w:numPr>
          <w:ilvl w:val="2"/>
          <w:numId w:val="31"/>
        </w:numPr>
        <w:pBdr>
          <w:top w:val="nil"/>
          <w:left w:val="nil"/>
          <w:bottom w:val="nil"/>
          <w:right w:val="nil"/>
          <w:between w:val="nil"/>
        </w:pBdr>
        <w:spacing w:after="280"/>
        <w:rPr>
          <w:rFonts w:ascii="Times New Roman" w:hAnsi="Times New Roman" w:cs="Times New Roman"/>
          <w:b/>
          <w:color w:val="222222"/>
          <w:sz w:val="20"/>
          <w:szCs w:val="20"/>
        </w:rPr>
      </w:pPr>
      <w:r w:rsidRPr="00F87104">
        <w:rPr>
          <w:rFonts w:ascii="Times New Roman" w:hAnsi="Times New Roman" w:cs="Times New Roman"/>
          <w:color w:val="222222"/>
          <w:sz w:val="20"/>
          <w:szCs w:val="20"/>
        </w:rPr>
        <w:t>Case study</w:t>
      </w:r>
    </w:p>
    <w:p w14:paraId="094ADF89" w14:textId="77777777" w:rsidR="005125B9" w:rsidRPr="00F87104" w:rsidRDefault="005125B9">
      <w:pPr>
        <w:spacing w:before="280" w:after="280"/>
        <w:rPr>
          <w:rFonts w:ascii="Times New Roman" w:hAnsi="Times New Roman" w:cs="Times New Roman"/>
          <w:b/>
          <w:color w:val="222222"/>
        </w:rPr>
      </w:pPr>
    </w:p>
    <w:p w14:paraId="186E3B67" w14:textId="4AA31CDD" w:rsidR="00A351BC" w:rsidRPr="00F87104" w:rsidRDefault="00141F7F">
      <w:pPr>
        <w:spacing w:before="280" w:after="280"/>
        <w:rPr>
          <w:rFonts w:ascii="Times New Roman" w:hAnsi="Times New Roman" w:cs="Times New Roman"/>
          <w:b/>
          <w:color w:val="222222"/>
        </w:rPr>
      </w:pPr>
      <w:r w:rsidRPr="00F87104">
        <w:rPr>
          <w:rFonts w:ascii="Times New Roman" w:hAnsi="Times New Roman" w:cs="Times New Roman"/>
          <w:b/>
          <w:color w:val="222222"/>
        </w:rPr>
        <w:t>Sunday</w:t>
      </w:r>
    </w:p>
    <w:p w14:paraId="57E98D79" w14:textId="77777777" w:rsidR="00A351BC" w:rsidRPr="00F87104" w:rsidRDefault="005125B9" w:rsidP="00B51CCA">
      <w:pPr>
        <w:pBdr>
          <w:top w:val="nil"/>
          <w:left w:val="nil"/>
          <w:bottom w:val="nil"/>
          <w:right w:val="nil"/>
          <w:between w:val="nil"/>
        </w:pBdr>
        <w:spacing w:before="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8:00-10:00am</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 xml:space="preserve"> Dr. Brock</w:t>
      </w:r>
    </w:p>
    <w:p w14:paraId="35E5377F" w14:textId="77777777" w:rsidR="00A351BC" w:rsidRPr="00F87104" w:rsidRDefault="00032BAA" w:rsidP="005125B9">
      <w:pPr>
        <w:numPr>
          <w:ilvl w:val="2"/>
          <w:numId w:val="32"/>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Thyroid genetics, antibodies, labs and brain function</w:t>
      </w:r>
    </w:p>
    <w:p w14:paraId="358EC320" w14:textId="77777777" w:rsidR="00A351BC" w:rsidRPr="00F87104" w:rsidRDefault="00032BAA" w:rsidP="005125B9">
      <w:pPr>
        <w:numPr>
          <w:ilvl w:val="2"/>
          <w:numId w:val="32"/>
        </w:numPr>
        <w:pBdr>
          <w:top w:val="nil"/>
          <w:left w:val="nil"/>
          <w:bottom w:val="nil"/>
          <w:right w:val="nil"/>
          <w:between w:val="nil"/>
        </w:pBdr>
        <w:rPr>
          <w:rFonts w:ascii="Times New Roman" w:hAnsi="Times New Roman" w:cs="Times New Roman"/>
          <w:color w:val="222222"/>
          <w:sz w:val="20"/>
          <w:szCs w:val="20"/>
        </w:rPr>
      </w:pPr>
      <w:r w:rsidRPr="00F87104">
        <w:rPr>
          <w:rFonts w:ascii="Times New Roman" w:hAnsi="Times New Roman" w:cs="Times New Roman"/>
          <w:color w:val="222222"/>
          <w:sz w:val="20"/>
          <w:szCs w:val="20"/>
        </w:rPr>
        <w:t>Androgen genetics, antibodies, labs and brain function</w:t>
      </w:r>
    </w:p>
    <w:p w14:paraId="7FC5EAE1" w14:textId="77777777" w:rsidR="00A351BC" w:rsidRPr="00F87104" w:rsidRDefault="005125B9">
      <w:pPr>
        <w:spacing w:before="280"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10:00-10:15am</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 xml:space="preserve">Break </w:t>
      </w:r>
    </w:p>
    <w:p w14:paraId="66D0C687" w14:textId="77777777" w:rsidR="00A351BC" w:rsidRPr="00F87104" w:rsidRDefault="005125B9" w:rsidP="00B51CCA">
      <w:pPr>
        <w:pBdr>
          <w:top w:val="nil"/>
          <w:left w:val="nil"/>
          <w:bottom w:val="nil"/>
          <w:right w:val="nil"/>
          <w:between w:val="nil"/>
        </w:pBdr>
        <w:spacing w:before="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10:15-12:15pm</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Dr. Berry (Two-hour documentation and ethics portion)</w:t>
      </w:r>
    </w:p>
    <w:p w14:paraId="725D0E91" w14:textId="77777777" w:rsidR="00A351BC" w:rsidRPr="00F87104" w:rsidRDefault="00032BAA" w:rsidP="005125B9">
      <w:pPr>
        <w:numPr>
          <w:ilvl w:val="2"/>
          <w:numId w:val="33"/>
        </w:numPr>
        <w:pBdr>
          <w:top w:val="nil"/>
          <w:left w:val="nil"/>
          <w:bottom w:val="nil"/>
          <w:right w:val="nil"/>
          <w:between w:val="nil"/>
        </w:pBdr>
        <w:rPr>
          <w:rFonts w:ascii="Times New Roman" w:hAnsi="Times New Roman" w:cs="Times New Roman"/>
          <w:b/>
          <w:color w:val="222222"/>
          <w:sz w:val="20"/>
          <w:szCs w:val="20"/>
        </w:rPr>
      </w:pPr>
      <w:r w:rsidRPr="00F87104">
        <w:rPr>
          <w:rFonts w:ascii="Times New Roman" w:hAnsi="Times New Roman" w:cs="Times New Roman"/>
          <w:color w:val="222222"/>
          <w:sz w:val="20"/>
          <w:szCs w:val="20"/>
        </w:rPr>
        <w:t>Documentation and ethics </w:t>
      </w:r>
    </w:p>
    <w:p w14:paraId="7704D598" w14:textId="77777777" w:rsidR="00A351BC" w:rsidRPr="00F87104" w:rsidRDefault="00032BAA" w:rsidP="005125B9">
      <w:pPr>
        <w:numPr>
          <w:ilvl w:val="2"/>
          <w:numId w:val="33"/>
        </w:numPr>
        <w:pBdr>
          <w:top w:val="nil"/>
          <w:left w:val="nil"/>
          <w:bottom w:val="nil"/>
          <w:right w:val="nil"/>
          <w:between w:val="nil"/>
        </w:pBdr>
        <w:rPr>
          <w:rFonts w:ascii="Times New Roman" w:hAnsi="Times New Roman" w:cs="Times New Roman"/>
          <w:b/>
          <w:color w:val="222222"/>
          <w:sz w:val="20"/>
          <w:szCs w:val="20"/>
        </w:rPr>
      </w:pPr>
      <w:r w:rsidRPr="00F87104">
        <w:rPr>
          <w:rFonts w:ascii="Times New Roman" w:hAnsi="Times New Roman" w:cs="Times New Roman"/>
          <w:color w:val="222222"/>
          <w:sz w:val="20"/>
          <w:szCs w:val="20"/>
        </w:rPr>
        <w:t>Supporting medical necessity with FDA cleared research</w:t>
      </w:r>
    </w:p>
    <w:p w14:paraId="0F83316A" w14:textId="77777777" w:rsidR="00A351BC" w:rsidRPr="00F87104" w:rsidRDefault="00032BAA" w:rsidP="005125B9">
      <w:pPr>
        <w:numPr>
          <w:ilvl w:val="2"/>
          <w:numId w:val="33"/>
        </w:numPr>
        <w:pBdr>
          <w:top w:val="nil"/>
          <w:left w:val="nil"/>
          <w:bottom w:val="nil"/>
          <w:right w:val="nil"/>
          <w:between w:val="nil"/>
        </w:pBdr>
        <w:rPr>
          <w:rFonts w:ascii="Times New Roman" w:hAnsi="Times New Roman" w:cs="Times New Roman"/>
          <w:b/>
          <w:color w:val="222222"/>
          <w:sz w:val="20"/>
          <w:szCs w:val="20"/>
        </w:rPr>
      </w:pPr>
      <w:r w:rsidRPr="00F87104">
        <w:rPr>
          <w:rFonts w:ascii="Times New Roman" w:hAnsi="Times New Roman" w:cs="Times New Roman"/>
          <w:color w:val="222222"/>
          <w:sz w:val="20"/>
          <w:szCs w:val="20"/>
        </w:rPr>
        <w:t>Condition specific applications of LLLT and Nutrition protocols</w:t>
      </w:r>
    </w:p>
    <w:p w14:paraId="370B7977" w14:textId="77777777" w:rsidR="00A351BC" w:rsidRPr="00F87104" w:rsidRDefault="00032BAA" w:rsidP="005125B9">
      <w:pPr>
        <w:numPr>
          <w:ilvl w:val="2"/>
          <w:numId w:val="33"/>
        </w:numPr>
        <w:pBdr>
          <w:top w:val="nil"/>
          <w:left w:val="nil"/>
          <w:bottom w:val="nil"/>
          <w:right w:val="nil"/>
          <w:between w:val="nil"/>
        </w:pBdr>
        <w:spacing w:after="280"/>
        <w:rPr>
          <w:rFonts w:ascii="Times New Roman" w:hAnsi="Times New Roman" w:cs="Times New Roman"/>
          <w:b/>
          <w:color w:val="222222"/>
          <w:sz w:val="20"/>
          <w:szCs w:val="20"/>
        </w:rPr>
      </w:pPr>
      <w:r w:rsidRPr="00F87104">
        <w:rPr>
          <w:rFonts w:ascii="Times New Roman" w:hAnsi="Times New Roman" w:cs="Times New Roman"/>
          <w:color w:val="222222"/>
          <w:sz w:val="20"/>
          <w:szCs w:val="20"/>
        </w:rPr>
        <w:t>Hands-on Laser demonstration</w:t>
      </w:r>
    </w:p>
    <w:p w14:paraId="4E3F886C" w14:textId="77777777" w:rsidR="00A351BC" w:rsidRPr="00F87104" w:rsidRDefault="005125B9">
      <w:pPr>
        <w:spacing w:before="280"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12:15-1:15pm</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Lunch</w:t>
      </w:r>
    </w:p>
    <w:p w14:paraId="62C6DEA2" w14:textId="77777777" w:rsidR="00A500A6" w:rsidRPr="00F87104" w:rsidRDefault="005125B9" w:rsidP="00A500A6">
      <w:pPr>
        <w:pBdr>
          <w:top w:val="nil"/>
          <w:left w:val="nil"/>
          <w:bottom w:val="nil"/>
          <w:right w:val="nil"/>
          <w:between w:val="nil"/>
        </w:pBdr>
        <w:spacing w:before="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1:15-2:30pm</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 xml:space="preserve"> </w:t>
      </w:r>
      <w:r w:rsidR="00A500A6" w:rsidRPr="00F87104">
        <w:rPr>
          <w:rFonts w:ascii="Times New Roman" w:hAnsi="Times New Roman" w:cs="Times New Roman"/>
          <w:b/>
          <w:color w:val="222222"/>
          <w:sz w:val="20"/>
          <w:szCs w:val="20"/>
        </w:rPr>
        <w:t>Dr.  Brock</w:t>
      </w:r>
    </w:p>
    <w:p w14:paraId="0257CBCA" w14:textId="77777777" w:rsidR="00A500A6" w:rsidRPr="00F87104" w:rsidRDefault="00A500A6" w:rsidP="00A500A6">
      <w:pPr>
        <w:numPr>
          <w:ilvl w:val="2"/>
          <w:numId w:val="35"/>
        </w:numPr>
        <w:pBdr>
          <w:top w:val="nil"/>
          <w:left w:val="nil"/>
          <w:bottom w:val="nil"/>
          <w:right w:val="nil"/>
          <w:between w:val="nil"/>
        </w:pBdr>
        <w:spacing w:after="280"/>
        <w:rPr>
          <w:rFonts w:ascii="Times New Roman" w:hAnsi="Times New Roman" w:cs="Times New Roman"/>
          <w:b/>
          <w:color w:val="222222"/>
          <w:sz w:val="20"/>
          <w:szCs w:val="20"/>
        </w:rPr>
      </w:pPr>
      <w:r w:rsidRPr="00F87104">
        <w:rPr>
          <w:rFonts w:ascii="Times New Roman" w:hAnsi="Times New Roman" w:cs="Times New Roman"/>
          <w:color w:val="222222"/>
          <w:sz w:val="20"/>
          <w:szCs w:val="20"/>
        </w:rPr>
        <w:t>Case study Summary</w:t>
      </w:r>
    </w:p>
    <w:p w14:paraId="4AB6103C" w14:textId="77777777" w:rsidR="00A351BC" w:rsidRPr="00F87104" w:rsidRDefault="005125B9">
      <w:pPr>
        <w:spacing w:before="280"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2:30-2:35pm</w:t>
      </w:r>
      <w:r w:rsidRPr="00F87104">
        <w:rPr>
          <w:rFonts w:ascii="Times New Roman" w:hAnsi="Times New Roman" w:cs="Times New Roman"/>
          <w:b/>
          <w:color w:val="222222"/>
          <w:sz w:val="20"/>
          <w:szCs w:val="20"/>
        </w:rPr>
        <w:tab/>
      </w:r>
      <w:r w:rsidR="00032BAA" w:rsidRPr="00F87104">
        <w:rPr>
          <w:rFonts w:ascii="Times New Roman" w:hAnsi="Times New Roman" w:cs="Times New Roman"/>
          <w:b/>
          <w:color w:val="222222"/>
          <w:sz w:val="20"/>
          <w:szCs w:val="20"/>
        </w:rPr>
        <w:t>Break</w:t>
      </w:r>
    </w:p>
    <w:p w14:paraId="757484CF" w14:textId="77777777" w:rsidR="00A500A6" w:rsidRPr="00F87104" w:rsidRDefault="005125B9" w:rsidP="00A500A6">
      <w:pPr>
        <w:pBdr>
          <w:top w:val="nil"/>
          <w:left w:val="nil"/>
          <w:bottom w:val="nil"/>
          <w:right w:val="nil"/>
          <w:between w:val="nil"/>
        </w:pBdr>
        <w:spacing w:before="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2:35-3:20pm</w:t>
      </w:r>
      <w:r w:rsidRPr="00F87104">
        <w:rPr>
          <w:rFonts w:ascii="Times New Roman" w:hAnsi="Times New Roman" w:cs="Times New Roman"/>
          <w:b/>
          <w:color w:val="222222"/>
          <w:sz w:val="20"/>
          <w:szCs w:val="20"/>
        </w:rPr>
        <w:tab/>
      </w:r>
      <w:r w:rsidR="009415B1" w:rsidRPr="00F87104">
        <w:rPr>
          <w:rFonts w:ascii="Times New Roman" w:hAnsi="Times New Roman" w:cs="Times New Roman"/>
          <w:b/>
          <w:color w:val="222222"/>
          <w:sz w:val="20"/>
          <w:szCs w:val="20"/>
        </w:rPr>
        <w:t xml:space="preserve"> </w:t>
      </w:r>
      <w:r w:rsidR="00A500A6" w:rsidRPr="00F87104">
        <w:rPr>
          <w:rFonts w:ascii="Times New Roman" w:hAnsi="Times New Roman" w:cs="Times New Roman"/>
          <w:b/>
          <w:color w:val="222222"/>
          <w:sz w:val="20"/>
          <w:szCs w:val="20"/>
        </w:rPr>
        <w:t>Dr. Berry (Research)</w:t>
      </w:r>
    </w:p>
    <w:p w14:paraId="1217E22D" w14:textId="77777777" w:rsidR="00A500A6" w:rsidRPr="00F87104" w:rsidRDefault="00A500A6" w:rsidP="00A500A6">
      <w:pPr>
        <w:numPr>
          <w:ilvl w:val="2"/>
          <w:numId w:val="34"/>
        </w:numPr>
        <w:pBdr>
          <w:top w:val="nil"/>
          <w:left w:val="nil"/>
          <w:bottom w:val="nil"/>
          <w:right w:val="nil"/>
          <w:between w:val="nil"/>
        </w:pBdr>
        <w:rPr>
          <w:rFonts w:ascii="Times New Roman" w:hAnsi="Times New Roman" w:cs="Times New Roman"/>
          <w:b/>
          <w:color w:val="222222"/>
          <w:sz w:val="20"/>
          <w:szCs w:val="20"/>
        </w:rPr>
      </w:pPr>
      <w:r w:rsidRPr="00F87104">
        <w:rPr>
          <w:rFonts w:ascii="Times New Roman" w:hAnsi="Times New Roman" w:cs="Times New Roman"/>
          <w:color w:val="222222"/>
          <w:sz w:val="20"/>
          <w:szCs w:val="20"/>
        </w:rPr>
        <w:t>Summary review of research, physiology, clinical applications, technique.</w:t>
      </w:r>
    </w:p>
    <w:p w14:paraId="1026E09B" w14:textId="67B437E7" w:rsidR="00A500A6" w:rsidRPr="00F87104" w:rsidRDefault="00A500A6" w:rsidP="00A500A6">
      <w:pPr>
        <w:numPr>
          <w:ilvl w:val="2"/>
          <w:numId w:val="34"/>
        </w:numPr>
        <w:pBdr>
          <w:top w:val="nil"/>
          <w:left w:val="nil"/>
          <w:bottom w:val="nil"/>
          <w:right w:val="nil"/>
          <w:between w:val="nil"/>
        </w:pBdr>
        <w:spacing w:after="280"/>
        <w:rPr>
          <w:rFonts w:ascii="Times New Roman" w:hAnsi="Times New Roman" w:cs="Times New Roman"/>
          <w:b/>
          <w:color w:val="222222"/>
          <w:sz w:val="20"/>
          <w:szCs w:val="20"/>
        </w:rPr>
      </w:pPr>
      <w:r w:rsidRPr="00F87104">
        <w:rPr>
          <w:rFonts w:ascii="Times New Roman" w:hAnsi="Times New Roman" w:cs="Times New Roman"/>
          <w:color w:val="222222"/>
          <w:sz w:val="20"/>
          <w:szCs w:val="20"/>
        </w:rPr>
        <w:t>Case studies</w:t>
      </w:r>
      <w:r w:rsidRPr="00F87104">
        <w:rPr>
          <w:rFonts w:ascii="Times New Roman" w:hAnsi="Times New Roman" w:cs="Times New Roman"/>
          <w:b/>
          <w:color w:val="222222"/>
          <w:sz w:val="20"/>
          <w:szCs w:val="20"/>
        </w:rPr>
        <w:t xml:space="preserve"> and closing comments</w:t>
      </w:r>
    </w:p>
    <w:p w14:paraId="2231F042" w14:textId="77777777" w:rsidR="00A351BC" w:rsidRPr="00F87104" w:rsidRDefault="00032BAA" w:rsidP="005125B9">
      <w:pPr>
        <w:numPr>
          <w:ilvl w:val="2"/>
          <w:numId w:val="35"/>
        </w:numPr>
        <w:pBdr>
          <w:top w:val="nil"/>
          <w:left w:val="nil"/>
          <w:bottom w:val="nil"/>
          <w:right w:val="nil"/>
          <w:between w:val="nil"/>
        </w:pBdr>
        <w:spacing w:after="280"/>
        <w:rPr>
          <w:rFonts w:ascii="Times New Roman" w:hAnsi="Times New Roman" w:cs="Times New Roman"/>
          <w:b/>
          <w:color w:val="222222"/>
          <w:sz w:val="20"/>
          <w:szCs w:val="20"/>
        </w:rPr>
      </w:pPr>
      <w:r w:rsidRPr="00F87104">
        <w:rPr>
          <w:rFonts w:ascii="Times New Roman" w:hAnsi="Times New Roman" w:cs="Times New Roman"/>
          <w:b/>
          <w:color w:val="222222"/>
          <w:sz w:val="20"/>
          <w:szCs w:val="20"/>
        </w:rPr>
        <w:t>10 minutes: Q and A (</w:t>
      </w:r>
      <w:r w:rsidR="00B51CCA" w:rsidRPr="00F87104">
        <w:rPr>
          <w:rFonts w:ascii="Times New Roman" w:hAnsi="Times New Roman" w:cs="Times New Roman"/>
          <w:b/>
          <w:color w:val="222222"/>
          <w:sz w:val="20"/>
          <w:szCs w:val="20"/>
        </w:rPr>
        <w:t>Dr. B</w:t>
      </w:r>
      <w:r w:rsidRPr="00F87104">
        <w:rPr>
          <w:rFonts w:ascii="Times New Roman" w:hAnsi="Times New Roman" w:cs="Times New Roman"/>
          <w:b/>
          <w:color w:val="222222"/>
          <w:sz w:val="20"/>
          <w:szCs w:val="20"/>
        </w:rPr>
        <w:t>rock and</w:t>
      </w:r>
      <w:r w:rsidR="00B51CCA" w:rsidRPr="00F87104">
        <w:rPr>
          <w:rFonts w:ascii="Times New Roman" w:hAnsi="Times New Roman" w:cs="Times New Roman"/>
          <w:b/>
          <w:color w:val="222222"/>
          <w:sz w:val="20"/>
          <w:szCs w:val="20"/>
        </w:rPr>
        <w:t xml:space="preserve"> Dr. B</w:t>
      </w:r>
      <w:r w:rsidRPr="00F87104">
        <w:rPr>
          <w:rFonts w:ascii="Times New Roman" w:hAnsi="Times New Roman" w:cs="Times New Roman"/>
          <w:b/>
          <w:color w:val="222222"/>
          <w:sz w:val="20"/>
          <w:szCs w:val="20"/>
        </w:rPr>
        <w:t>erry)</w:t>
      </w:r>
    </w:p>
    <w:p w14:paraId="70DAE858" w14:textId="77777777" w:rsidR="00A351BC" w:rsidRPr="00F87104" w:rsidRDefault="00A351BC">
      <w:pPr>
        <w:rPr>
          <w:rFonts w:ascii="Times New Roman" w:eastAsia="Times New Roman" w:hAnsi="Times New Roman" w:cs="Times New Roman"/>
          <w:color w:val="222222"/>
          <w:sz w:val="22"/>
          <w:szCs w:val="22"/>
        </w:rPr>
      </w:pPr>
    </w:p>
    <w:p w14:paraId="1910660B" w14:textId="77777777" w:rsidR="007D1F77" w:rsidRPr="00F87104" w:rsidRDefault="007D1F77">
      <w:pPr>
        <w:rPr>
          <w:rFonts w:ascii="Times New Roman" w:eastAsia="Times New Roman" w:hAnsi="Times New Roman" w:cs="Times New Roman"/>
          <w:color w:val="222222"/>
          <w:sz w:val="22"/>
          <w:szCs w:val="22"/>
        </w:rPr>
      </w:pPr>
    </w:p>
    <w:p w14:paraId="25276108" w14:textId="77777777" w:rsidR="007D1F77" w:rsidRPr="00F87104" w:rsidRDefault="007D1F77">
      <w:pPr>
        <w:rPr>
          <w:rFonts w:ascii="Times New Roman" w:eastAsia="Times New Roman" w:hAnsi="Times New Roman" w:cs="Times New Roman"/>
          <w:color w:val="222222"/>
          <w:sz w:val="22"/>
          <w:szCs w:val="22"/>
        </w:rPr>
      </w:pPr>
    </w:p>
    <w:p w14:paraId="72C229C0" w14:textId="77777777" w:rsidR="007D1F77" w:rsidRPr="00F87104" w:rsidRDefault="007D1F77">
      <w:pPr>
        <w:rPr>
          <w:rFonts w:ascii="Times New Roman" w:eastAsia="Times New Roman" w:hAnsi="Times New Roman" w:cs="Times New Roman"/>
          <w:color w:val="222222"/>
          <w:sz w:val="22"/>
          <w:szCs w:val="22"/>
        </w:rPr>
      </w:pPr>
    </w:p>
    <w:p w14:paraId="1DC88D48" w14:textId="77777777" w:rsidR="007D1F77" w:rsidRPr="00F87104" w:rsidRDefault="007D1F77">
      <w:pPr>
        <w:rPr>
          <w:rFonts w:ascii="Times New Roman" w:eastAsia="Times New Roman" w:hAnsi="Times New Roman" w:cs="Times New Roman"/>
          <w:color w:val="222222"/>
          <w:sz w:val="22"/>
          <w:szCs w:val="22"/>
        </w:rPr>
      </w:pPr>
    </w:p>
    <w:p w14:paraId="31E0D79A" w14:textId="77777777" w:rsidR="007D1F77" w:rsidRPr="00F87104" w:rsidRDefault="007D1F77">
      <w:pPr>
        <w:rPr>
          <w:rFonts w:ascii="Times New Roman" w:eastAsia="Times New Roman" w:hAnsi="Times New Roman" w:cs="Times New Roman"/>
          <w:color w:val="222222"/>
          <w:sz w:val="22"/>
          <w:szCs w:val="22"/>
        </w:rPr>
      </w:pPr>
    </w:p>
    <w:p w14:paraId="19BBFD9F" w14:textId="77777777" w:rsidR="007D1F77" w:rsidRPr="00F87104" w:rsidRDefault="007D1F77">
      <w:pPr>
        <w:rPr>
          <w:rFonts w:ascii="Times New Roman" w:eastAsia="Times New Roman" w:hAnsi="Times New Roman" w:cs="Times New Roman"/>
          <w:color w:val="222222"/>
          <w:sz w:val="22"/>
          <w:szCs w:val="22"/>
        </w:rPr>
      </w:pPr>
    </w:p>
    <w:p w14:paraId="5BFD8BF6" w14:textId="77777777" w:rsidR="007D1F77" w:rsidRPr="00F87104" w:rsidRDefault="007D1F77">
      <w:pPr>
        <w:rPr>
          <w:rFonts w:ascii="Times New Roman" w:eastAsia="Times New Roman" w:hAnsi="Times New Roman" w:cs="Times New Roman"/>
          <w:color w:val="222222"/>
          <w:sz w:val="22"/>
          <w:szCs w:val="22"/>
        </w:rPr>
      </w:pPr>
    </w:p>
    <w:p w14:paraId="28EF35FC" w14:textId="77777777" w:rsidR="00A351BC" w:rsidRPr="00F87104" w:rsidRDefault="00C624F4">
      <w:pPr>
        <w:rPr>
          <w:rFonts w:ascii="Times New Roman" w:eastAsia="Times New Roman" w:hAnsi="Times New Roman" w:cs="Times New Roman"/>
          <w:color w:val="222222"/>
          <w:sz w:val="22"/>
          <w:szCs w:val="22"/>
        </w:rPr>
      </w:pPr>
      <w:r w:rsidRPr="00F87104">
        <w:rPr>
          <w:rFonts w:ascii="Times New Roman" w:hAnsi="Times New Roman" w:cs="Times New Roman"/>
        </w:rPr>
        <w:pict w14:anchorId="2C6274D1">
          <v:rect id="_x0000_i1025" style="width:0;height:1.5pt" o:hralign="center" o:hrstd="t" o:hr="t" fillcolor="#a0a0a0" stroked="f"/>
        </w:pict>
      </w:r>
    </w:p>
    <w:p w14:paraId="7BF6C14F" w14:textId="77777777" w:rsidR="007D1F77" w:rsidRPr="00F87104" w:rsidRDefault="00032BAA">
      <w:pPr>
        <w:rPr>
          <w:rFonts w:ascii="Times New Roman" w:eastAsia="Times New Roman" w:hAnsi="Times New Roman" w:cs="Times New Roman"/>
          <w:color w:val="222222"/>
          <w:sz w:val="22"/>
          <w:szCs w:val="22"/>
        </w:rPr>
      </w:pPr>
      <w:r w:rsidRPr="00F87104">
        <w:rPr>
          <w:rFonts w:ascii="Times New Roman" w:eastAsia="Times New Roman" w:hAnsi="Times New Roman" w:cs="Times New Roman"/>
          <w:color w:val="222222"/>
          <w:sz w:val="22"/>
          <w:szCs w:val="22"/>
        </w:rPr>
        <w:lastRenderedPageBreak/>
        <w:t xml:space="preserve"> </w:t>
      </w:r>
    </w:p>
    <w:p w14:paraId="4462FFD1" w14:textId="77777777" w:rsidR="00A351BC" w:rsidRPr="00F87104" w:rsidRDefault="00032BAA">
      <w:pPr>
        <w:rPr>
          <w:rFonts w:ascii="Times New Roman" w:hAnsi="Times New Roman" w:cs="Times New Roman"/>
          <w:b/>
          <w:color w:val="222222"/>
          <w:sz w:val="20"/>
          <w:szCs w:val="20"/>
        </w:rPr>
      </w:pPr>
      <w:r w:rsidRPr="00F87104">
        <w:rPr>
          <w:rFonts w:ascii="Times New Roman" w:eastAsia="Times New Roman" w:hAnsi="Times New Roman" w:cs="Times New Roman"/>
          <w:color w:val="222222"/>
          <w:sz w:val="22"/>
          <w:szCs w:val="22"/>
        </w:rPr>
        <w:t xml:space="preserve"> </w:t>
      </w:r>
      <w:r w:rsidRPr="00F87104">
        <w:rPr>
          <w:rFonts w:ascii="Times New Roman" w:hAnsi="Times New Roman" w:cs="Times New Roman"/>
          <w:b/>
          <w:color w:val="222222"/>
          <w:sz w:val="20"/>
          <w:szCs w:val="20"/>
        </w:rPr>
        <w:t>References:</w:t>
      </w:r>
    </w:p>
    <w:p w14:paraId="24FCC22E" w14:textId="77777777" w:rsidR="00A351BC" w:rsidRPr="00F87104" w:rsidRDefault="00A351BC">
      <w:pPr>
        <w:rPr>
          <w:rFonts w:ascii="Times New Roman" w:hAnsi="Times New Roman" w:cs="Times New Roman"/>
          <w:b/>
          <w:color w:val="222222"/>
          <w:sz w:val="20"/>
          <w:szCs w:val="20"/>
        </w:rPr>
      </w:pPr>
    </w:p>
    <w:p w14:paraId="0FB21C9B" w14:textId="77777777" w:rsidR="00A351BC" w:rsidRPr="00F87104" w:rsidRDefault="00032BAA">
      <w:pPr>
        <w:numPr>
          <w:ilvl w:val="0"/>
          <w:numId w:val="7"/>
        </w:numPr>
        <w:pBdr>
          <w:top w:val="nil"/>
          <w:left w:val="nil"/>
          <w:bottom w:val="nil"/>
          <w:right w:val="nil"/>
          <w:between w:val="nil"/>
        </w:pBdr>
        <w:shd w:val="clear" w:color="auto" w:fill="FFFFFF"/>
        <w:rPr>
          <w:rFonts w:ascii="Times New Roman" w:hAnsi="Times New Roman" w:cs="Times New Roman"/>
          <w:color w:val="333333"/>
          <w:sz w:val="16"/>
          <w:szCs w:val="16"/>
        </w:rPr>
      </w:pPr>
      <w:r w:rsidRPr="00F87104">
        <w:rPr>
          <w:rFonts w:ascii="Times New Roman" w:hAnsi="Times New Roman" w:cs="Times New Roman"/>
          <w:color w:val="333333"/>
          <w:sz w:val="16"/>
          <w:szCs w:val="16"/>
        </w:rPr>
        <w:t>Adeli, K., Higgins, V., Nieuwesteeg, M., Raizman, J. E., Chen, Y., Wong, S. L., &amp; Blais, D. (2015). Biochemical Marker Reference Values across Pediatric, Adult, and Geriatric Ages: Establishment of Robust Pediatric and Adult Reference Intervals on the Basis of the Canadian Health Measures Survey. </w:t>
      </w:r>
      <w:r w:rsidRPr="00F87104">
        <w:rPr>
          <w:rFonts w:ascii="Times New Roman" w:hAnsi="Times New Roman" w:cs="Times New Roman"/>
          <w:i/>
          <w:color w:val="333333"/>
          <w:sz w:val="16"/>
          <w:szCs w:val="16"/>
        </w:rPr>
        <w:t>Clinical Chemistry,61</w:t>
      </w:r>
      <w:r w:rsidRPr="00F87104">
        <w:rPr>
          <w:rFonts w:ascii="Times New Roman" w:hAnsi="Times New Roman" w:cs="Times New Roman"/>
          <w:color w:val="333333"/>
          <w:sz w:val="16"/>
          <w:szCs w:val="16"/>
        </w:rPr>
        <w:t>(8), 1049-1062. doi:10.1373/clinchem.2015.240515</w:t>
      </w:r>
    </w:p>
    <w:p w14:paraId="3F001B22" w14:textId="77777777" w:rsidR="00A351BC" w:rsidRPr="00F87104" w:rsidRDefault="00A351BC">
      <w:pPr>
        <w:pBdr>
          <w:top w:val="nil"/>
          <w:left w:val="nil"/>
          <w:bottom w:val="nil"/>
          <w:right w:val="nil"/>
          <w:between w:val="nil"/>
        </w:pBdr>
        <w:shd w:val="clear" w:color="auto" w:fill="FFFFFF"/>
        <w:ind w:left="720" w:hanging="720"/>
        <w:rPr>
          <w:rFonts w:ascii="Times New Roman" w:hAnsi="Times New Roman" w:cs="Times New Roman"/>
          <w:color w:val="333333"/>
          <w:sz w:val="16"/>
          <w:szCs w:val="16"/>
        </w:rPr>
      </w:pPr>
    </w:p>
    <w:p w14:paraId="021DC35E" w14:textId="77777777" w:rsidR="00A351BC" w:rsidRPr="00F87104" w:rsidRDefault="00032BAA">
      <w:pPr>
        <w:numPr>
          <w:ilvl w:val="0"/>
          <w:numId w:val="7"/>
        </w:numPr>
        <w:pBdr>
          <w:top w:val="nil"/>
          <w:left w:val="nil"/>
          <w:bottom w:val="nil"/>
          <w:right w:val="nil"/>
          <w:between w:val="nil"/>
        </w:pBdr>
        <w:shd w:val="clear" w:color="auto" w:fill="FFFFFF"/>
        <w:rPr>
          <w:rFonts w:ascii="Times New Roman" w:hAnsi="Times New Roman" w:cs="Times New Roman"/>
          <w:color w:val="333333"/>
          <w:sz w:val="16"/>
          <w:szCs w:val="16"/>
        </w:rPr>
      </w:pPr>
      <w:r w:rsidRPr="00F87104">
        <w:rPr>
          <w:rFonts w:ascii="Times New Roman" w:hAnsi="Times New Roman" w:cs="Times New Roman"/>
          <w:color w:val="333333"/>
          <w:sz w:val="16"/>
          <w:szCs w:val="16"/>
        </w:rPr>
        <w:t>Brian, M. J., &amp; Pickering, L. K. (1992). Stool Cultures In Acute Gastroenteritis. </w:t>
      </w:r>
      <w:r w:rsidRPr="00F87104">
        <w:rPr>
          <w:rFonts w:ascii="Times New Roman" w:hAnsi="Times New Roman" w:cs="Times New Roman"/>
          <w:i/>
          <w:color w:val="333333"/>
          <w:sz w:val="16"/>
          <w:szCs w:val="16"/>
        </w:rPr>
        <w:t>The Pediatric Infectious Disease Journal,11</w:t>
      </w:r>
      <w:r w:rsidRPr="00F87104">
        <w:rPr>
          <w:rFonts w:ascii="Times New Roman" w:hAnsi="Times New Roman" w:cs="Times New Roman"/>
          <w:color w:val="333333"/>
          <w:sz w:val="16"/>
          <w:szCs w:val="16"/>
        </w:rPr>
        <w:t>(6), 506. doi:10.1097/00006454-199206000-00025</w:t>
      </w:r>
    </w:p>
    <w:p w14:paraId="4ADCA2B9" w14:textId="77777777" w:rsidR="00A351BC" w:rsidRPr="00F87104" w:rsidRDefault="00A351BC">
      <w:pPr>
        <w:shd w:val="clear" w:color="auto" w:fill="FFFFFF"/>
        <w:rPr>
          <w:rFonts w:ascii="Times New Roman" w:hAnsi="Times New Roman" w:cs="Times New Roman"/>
          <w:color w:val="333333"/>
          <w:sz w:val="16"/>
          <w:szCs w:val="16"/>
        </w:rPr>
      </w:pPr>
    </w:p>
    <w:p w14:paraId="0D5B682E" w14:textId="77777777" w:rsidR="00A351BC" w:rsidRPr="00F87104" w:rsidRDefault="00032BAA">
      <w:pPr>
        <w:numPr>
          <w:ilvl w:val="0"/>
          <w:numId w:val="7"/>
        </w:numPr>
        <w:pBdr>
          <w:top w:val="nil"/>
          <w:left w:val="nil"/>
          <w:bottom w:val="nil"/>
          <w:right w:val="nil"/>
          <w:between w:val="nil"/>
        </w:pBdr>
        <w:shd w:val="clear" w:color="auto" w:fill="FFFFFF"/>
        <w:rPr>
          <w:rFonts w:ascii="Times New Roman" w:hAnsi="Times New Roman" w:cs="Times New Roman"/>
          <w:color w:val="333333"/>
          <w:sz w:val="16"/>
          <w:szCs w:val="16"/>
        </w:rPr>
      </w:pPr>
      <w:r w:rsidRPr="00F87104">
        <w:rPr>
          <w:rFonts w:ascii="Times New Roman" w:hAnsi="Times New Roman" w:cs="Times New Roman"/>
          <w:color w:val="333333"/>
          <w:sz w:val="16"/>
          <w:szCs w:val="16"/>
        </w:rPr>
        <w:t>Carlberg, C. (2012). The need for education in personalized medicine. </w:t>
      </w:r>
      <w:r w:rsidRPr="00F87104">
        <w:rPr>
          <w:rFonts w:ascii="Times New Roman" w:hAnsi="Times New Roman" w:cs="Times New Roman"/>
          <w:i/>
          <w:color w:val="333333"/>
          <w:sz w:val="16"/>
          <w:szCs w:val="16"/>
        </w:rPr>
        <w:t>Personalized Medicine,9</w:t>
      </w:r>
      <w:r w:rsidRPr="00F87104">
        <w:rPr>
          <w:rFonts w:ascii="Times New Roman" w:hAnsi="Times New Roman" w:cs="Times New Roman"/>
          <w:color w:val="333333"/>
          <w:sz w:val="16"/>
          <w:szCs w:val="16"/>
        </w:rPr>
        <w:t>(2), 147-150. doi:10.2217/pme.11.96</w:t>
      </w:r>
    </w:p>
    <w:p w14:paraId="06B87672" w14:textId="77777777" w:rsidR="00A351BC" w:rsidRPr="00F87104" w:rsidRDefault="00A351BC">
      <w:pPr>
        <w:shd w:val="clear" w:color="auto" w:fill="FFFFFF"/>
        <w:rPr>
          <w:rFonts w:ascii="Times New Roman" w:hAnsi="Times New Roman" w:cs="Times New Roman"/>
          <w:color w:val="333333"/>
          <w:sz w:val="16"/>
          <w:szCs w:val="16"/>
        </w:rPr>
      </w:pPr>
    </w:p>
    <w:p w14:paraId="6DA49CB2" w14:textId="77777777" w:rsidR="00A351BC" w:rsidRPr="00F87104" w:rsidRDefault="00032BAA">
      <w:pPr>
        <w:numPr>
          <w:ilvl w:val="0"/>
          <w:numId w:val="7"/>
        </w:numPr>
        <w:pBdr>
          <w:top w:val="nil"/>
          <w:left w:val="nil"/>
          <w:bottom w:val="nil"/>
          <w:right w:val="nil"/>
          <w:between w:val="nil"/>
        </w:pBdr>
        <w:shd w:val="clear" w:color="auto" w:fill="FFFFFF"/>
        <w:rPr>
          <w:rFonts w:ascii="Times New Roman" w:hAnsi="Times New Roman" w:cs="Times New Roman"/>
          <w:color w:val="333333"/>
          <w:sz w:val="16"/>
          <w:szCs w:val="16"/>
        </w:rPr>
      </w:pPr>
      <w:r w:rsidRPr="00F87104">
        <w:rPr>
          <w:rFonts w:ascii="Times New Roman" w:hAnsi="Times New Roman" w:cs="Times New Roman"/>
          <w:color w:val="333333"/>
          <w:sz w:val="16"/>
          <w:szCs w:val="16"/>
        </w:rPr>
        <w:t>Cooper, B. T. (1985). Small Intestinal Permeability as an Indicator of Jejunal Mucosal Recovery in Patients with Celiac Sprue on a Gluten-Free Diet. </w:t>
      </w:r>
      <w:r w:rsidRPr="00F87104">
        <w:rPr>
          <w:rFonts w:ascii="Times New Roman" w:hAnsi="Times New Roman" w:cs="Times New Roman"/>
          <w:i/>
          <w:color w:val="333333"/>
          <w:sz w:val="16"/>
          <w:szCs w:val="16"/>
        </w:rPr>
        <w:t>Journal of Clinical Gastroenterology,7</w:t>
      </w:r>
      <w:r w:rsidRPr="00F87104">
        <w:rPr>
          <w:rFonts w:ascii="Times New Roman" w:hAnsi="Times New Roman" w:cs="Times New Roman"/>
          <w:color w:val="333333"/>
          <w:sz w:val="16"/>
          <w:szCs w:val="16"/>
        </w:rPr>
        <w:t>(3), 232-236. doi:10.1097/00004836-198506000-00009</w:t>
      </w:r>
    </w:p>
    <w:p w14:paraId="5F1C5C16" w14:textId="77777777" w:rsidR="00A351BC" w:rsidRPr="00F87104" w:rsidRDefault="00A351BC">
      <w:pPr>
        <w:shd w:val="clear" w:color="auto" w:fill="FFFFFF"/>
        <w:rPr>
          <w:rFonts w:ascii="Times New Roman" w:hAnsi="Times New Roman" w:cs="Times New Roman"/>
          <w:color w:val="333333"/>
          <w:sz w:val="16"/>
          <w:szCs w:val="16"/>
        </w:rPr>
      </w:pPr>
    </w:p>
    <w:p w14:paraId="5E05A8E8" w14:textId="77777777" w:rsidR="00A351BC" w:rsidRPr="00F87104" w:rsidRDefault="00032BAA">
      <w:pPr>
        <w:numPr>
          <w:ilvl w:val="0"/>
          <w:numId w:val="7"/>
        </w:numPr>
        <w:pBdr>
          <w:top w:val="nil"/>
          <w:left w:val="nil"/>
          <w:bottom w:val="nil"/>
          <w:right w:val="nil"/>
          <w:between w:val="nil"/>
        </w:pBdr>
        <w:shd w:val="clear" w:color="auto" w:fill="FFFFFF"/>
        <w:rPr>
          <w:rFonts w:ascii="Times New Roman" w:hAnsi="Times New Roman" w:cs="Times New Roman"/>
          <w:color w:val="333333"/>
          <w:sz w:val="16"/>
          <w:szCs w:val="16"/>
        </w:rPr>
      </w:pPr>
      <w:r w:rsidRPr="00F87104">
        <w:rPr>
          <w:rFonts w:ascii="Times New Roman" w:hAnsi="Times New Roman" w:cs="Times New Roman"/>
          <w:color w:val="333333"/>
          <w:sz w:val="16"/>
          <w:szCs w:val="16"/>
        </w:rPr>
        <w:t>Duerksen, D. R., Wilhelm-Boyles, C., Veitch, R., Kryszak, D., &amp; Parry, D. M. (2009). A Comparison of Antibody Testing, Permeability Testing, and Zonulin Levels with Small-Bowel Biopsy in Celiac Disease Patients on a Gluten-Free Diet. </w:t>
      </w:r>
      <w:r w:rsidRPr="00F87104">
        <w:rPr>
          <w:rFonts w:ascii="Times New Roman" w:hAnsi="Times New Roman" w:cs="Times New Roman"/>
          <w:i/>
          <w:color w:val="333333"/>
          <w:sz w:val="16"/>
          <w:szCs w:val="16"/>
        </w:rPr>
        <w:t>Digestive Diseases and Sciences,55</w:t>
      </w:r>
      <w:r w:rsidRPr="00F87104">
        <w:rPr>
          <w:rFonts w:ascii="Times New Roman" w:hAnsi="Times New Roman" w:cs="Times New Roman"/>
          <w:color w:val="333333"/>
          <w:sz w:val="16"/>
          <w:szCs w:val="16"/>
        </w:rPr>
        <w:t>(4), 1026-1031. doi:10.1007/s10620-009-0813-5</w:t>
      </w:r>
    </w:p>
    <w:p w14:paraId="1A2DC239" w14:textId="77777777" w:rsidR="00A351BC" w:rsidRPr="00F87104" w:rsidRDefault="00A351BC">
      <w:pPr>
        <w:shd w:val="clear" w:color="auto" w:fill="FFFFFF"/>
        <w:rPr>
          <w:rFonts w:ascii="Times New Roman" w:hAnsi="Times New Roman" w:cs="Times New Roman"/>
          <w:color w:val="333333"/>
          <w:sz w:val="16"/>
          <w:szCs w:val="16"/>
        </w:rPr>
      </w:pPr>
    </w:p>
    <w:p w14:paraId="6880B46F" w14:textId="77777777" w:rsidR="00A351BC" w:rsidRPr="00F87104" w:rsidRDefault="00032BAA">
      <w:pPr>
        <w:numPr>
          <w:ilvl w:val="0"/>
          <w:numId w:val="7"/>
        </w:numPr>
        <w:pBdr>
          <w:top w:val="nil"/>
          <w:left w:val="nil"/>
          <w:bottom w:val="nil"/>
          <w:right w:val="nil"/>
          <w:between w:val="nil"/>
        </w:pBdr>
        <w:shd w:val="clear" w:color="auto" w:fill="FFFFFF"/>
        <w:rPr>
          <w:rFonts w:ascii="Times New Roman" w:hAnsi="Times New Roman" w:cs="Times New Roman"/>
          <w:color w:val="333333"/>
          <w:sz w:val="16"/>
          <w:szCs w:val="16"/>
        </w:rPr>
      </w:pPr>
      <w:r w:rsidRPr="00F87104">
        <w:rPr>
          <w:rFonts w:ascii="Times New Roman" w:hAnsi="Times New Roman" w:cs="Times New Roman"/>
          <w:color w:val="333333"/>
          <w:sz w:val="16"/>
          <w:szCs w:val="16"/>
        </w:rPr>
        <w:t>Elamreen, F. H., Abed, A. A., &amp; Sharif, F. A. (2007). Detection and identification of bacterial enteropathogens by polymerase chain reaction and conventional techniques in childhood acute gastroenteritis in Gaza, Palestine. </w:t>
      </w:r>
      <w:r w:rsidRPr="00F87104">
        <w:rPr>
          <w:rFonts w:ascii="Times New Roman" w:hAnsi="Times New Roman" w:cs="Times New Roman"/>
          <w:i/>
          <w:color w:val="333333"/>
          <w:sz w:val="16"/>
          <w:szCs w:val="16"/>
        </w:rPr>
        <w:t>International Journal of Infectious Diseases,11</w:t>
      </w:r>
      <w:r w:rsidRPr="00F87104">
        <w:rPr>
          <w:rFonts w:ascii="Times New Roman" w:hAnsi="Times New Roman" w:cs="Times New Roman"/>
          <w:color w:val="333333"/>
          <w:sz w:val="16"/>
          <w:szCs w:val="16"/>
        </w:rPr>
        <w:t>(6), 501-507. doi:10.1016/j.ijid.2007.01.010</w:t>
      </w:r>
    </w:p>
    <w:p w14:paraId="2C96FB37" w14:textId="77777777" w:rsidR="00A351BC" w:rsidRPr="00F87104" w:rsidRDefault="00A351BC">
      <w:pPr>
        <w:shd w:val="clear" w:color="auto" w:fill="FFFFFF"/>
        <w:rPr>
          <w:rFonts w:ascii="Times New Roman" w:hAnsi="Times New Roman" w:cs="Times New Roman"/>
          <w:color w:val="333333"/>
          <w:sz w:val="16"/>
          <w:szCs w:val="16"/>
        </w:rPr>
      </w:pPr>
    </w:p>
    <w:p w14:paraId="37302E3E" w14:textId="77777777" w:rsidR="00A351BC" w:rsidRPr="00F87104" w:rsidRDefault="00032BAA">
      <w:pPr>
        <w:numPr>
          <w:ilvl w:val="0"/>
          <w:numId w:val="7"/>
        </w:numPr>
        <w:pBdr>
          <w:top w:val="nil"/>
          <w:left w:val="nil"/>
          <w:bottom w:val="nil"/>
          <w:right w:val="nil"/>
          <w:between w:val="nil"/>
        </w:pBdr>
        <w:shd w:val="clear" w:color="auto" w:fill="FFFFFF"/>
        <w:rPr>
          <w:rFonts w:ascii="Times New Roman" w:hAnsi="Times New Roman" w:cs="Times New Roman"/>
          <w:color w:val="333333"/>
          <w:sz w:val="16"/>
          <w:szCs w:val="16"/>
        </w:rPr>
      </w:pPr>
      <w:r w:rsidRPr="00F87104">
        <w:rPr>
          <w:rFonts w:ascii="Times New Roman" w:hAnsi="Times New Roman" w:cs="Times New Roman"/>
          <w:color w:val="333333"/>
          <w:sz w:val="16"/>
          <w:szCs w:val="16"/>
          <w:lang w:val="es-ES"/>
        </w:rPr>
        <w:t xml:space="preserve">Fueyo-Díaz, R., Gascón-Santos, S., &amp; Magallón-Botaya, R. (2017). </w:t>
      </w:r>
      <w:r w:rsidRPr="00F87104">
        <w:rPr>
          <w:rFonts w:ascii="Times New Roman" w:hAnsi="Times New Roman" w:cs="Times New Roman"/>
          <w:color w:val="333333"/>
          <w:sz w:val="16"/>
          <w:szCs w:val="16"/>
        </w:rPr>
        <w:t>I Can’t Eat That! Sticking to a Gluten-Free Diet. </w:t>
      </w:r>
      <w:r w:rsidRPr="00F87104">
        <w:rPr>
          <w:rFonts w:ascii="Times New Roman" w:hAnsi="Times New Roman" w:cs="Times New Roman"/>
          <w:i/>
          <w:color w:val="333333"/>
          <w:sz w:val="16"/>
          <w:szCs w:val="16"/>
        </w:rPr>
        <w:t>Celiac Disease and Non-Celiac Gluten Sensitivity</w:t>
      </w:r>
      <w:r w:rsidRPr="00F87104">
        <w:rPr>
          <w:rFonts w:ascii="Times New Roman" w:hAnsi="Times New Roman" w:cs="Times New Roman"/>
          <w:color w:val="333333"/>
          <w:sz w:val="16"/>
          <w:szCs w:val="16"/>
        </w:rPr>
        <w:t>. doi:10.5772/67462</w:t>
      </w:r>
    </w:p>
    <w:p w14:paraId="4E6AE261" w14:textId="77777777" w:rsidR="00A351BC" w:rsidRPr="00F87104" w:rsidRDefault="00A351BC">
      <w:pPr>
        <w:shd w:val="clear" w:color="auto" w:fill="FFFFFF"/>
        <w:rPr>
          <w:rFonts w:ascii="Times New Roman" w:hAnsi="Times New Roman" w:cs="Times New Roman"/>
          <w:color w:val="333333"/>
          <w:sz w:val="16"/>
          <w:szCs w:val="16"/>
        </w:rPr>
      </w:pPr>
    </w:p>
    <w:p w14:paraId="757B859E" w14:textId="77777777" w:rsidR="00A351BC" w:rsidRPr="00F87104" w:rsidRDefault="00032BAA">
      <w:pPr>
        <w:numPr>
          <w:ilvl w:val="0"/>
          <w:numId w:val="7"/>
        </w:numPr>
        <w:pBdr>
          <w:top w:val="nil"/>
          <w:left w:val="nil"/>
          <w:bottom w:val="nil"/>
          <w:right w:val="nil"/>
          <w:between w:val="nil"/>
        </w:pBdr>
        <w:shd w:val="clear" w:color="auto" w:fill="FFFFFF"/>
        <w:rPr>
          <w:rFonts w:ascii="Times New Roman" w:hAnsi="Times New Roman" w:cs="Times New Roman"/>
          <w:color w:val="333333"/>
          <w:sz w:val="16"/>
          <w:szCs w:val="16"/>
        </w:rPr>
      </w:pPr>
      <w:r w:rsidRPr="00F87104">
        <w:rPr>
          <w:rFonts w:ascii="Times New Roman" w:hAnsi="Times New Roman" w:cs="Times New Roman"/>
          <w:color w:val="333333"/>
          <w:sz w:val="16"/>
          <w:szCs w:val="16"/>
        </w:rPr>
        <w:t>Genomic analysis in personalized diagnostics. (2017). </w:t>
      </w:r>
      <w:r w:rsidRPr="00F87104">
        <w:rPr>
          <w:rFonts w:ascii="Times New Roman" w:hAnsi="Times New Roman" w:cs="Times New Roman"/>
          <w:i/>
          <w:color w:val="333333"/>
          <w:sz w:val="16"/>
          <w:szCs w:val="16"/>
        </w:rPr>
        <w:t>Clinical Chemistry and Laboratory Medicine (CCLM),55</w:t>
      </w:r>
      <w:r w:rsidRPr="00F87104">
        <w:rPr>
          <w:rFonts w:ascii="Times New Roman" w:hAnsi="Times New Roman" w:cs="Times New Roman"/>
          <w:color w:val="333333"/>
          <w:sz w:val="16"/>
          <w:szCs w:val="16"/>
        </w:rPr>
        <w:t>(S2). doi:10.1515/cclm-2017-7011</w:t>
      </w:r>
    </w:p>
    <w:p w14:paraId="1EC1EB32" w14:textId="77777777" w:rsidR="00A351BC" w:rsidRPr="00F87104" w:rsidRDefault="00A351BC">
      <w:pPr>
        <w:shd w:val="clear" w:color="auto" w:fill="FFFFFF"/>
        <w:rPr>
          <w:rFonts w:ascii="Times New Roman" w:hAnsi="Times New Roman" w:cs="Times New Roman"/>
          <w:color w:val="333333"/>
          <w:sz w:val="16"/>
          <w:szCs w:val="16"/>
        </w:rPr>
      </w:pPr>
    </w:p>
    <w:p w14:paraId="1068AD1E" w14:textId="77777777" w:rsidR="00A351BC" w:rsidRPr="00F87104" w:rsidRDefault="00032BAA">
      <w:pPr>
        <w:numPr>
          <w:ilvl w:val="0"/>
          <w:numId w:val="7"/>
        </w:numPr>
        <w:pBdr>
          <w:top w:val="nil"/>
          <w:left w:val="nil"/>
          <w:bottom w:val="nil"/>
          <w:right w:val="nil"/>
          <w:between w:val="nil"/>
        </w:pBdr>
        <w:shd w:val="clear" w:color="auto" w:fill="FFFFFF"/>
        <w:rPr>
          <w:rFonts w:ascii="Times New Roman" w:hAnsi="Times New Roman" w:cs="Times New Roman"/>
          <w:color w:val="333333"/>
          <w:sz w:val="16"/>
          <w:szCs w:val="16"/>
        </w:rPr>
      </w:pPr>
      <w:r w:rsidRPr="00F87104">
        <w:rPr>
          <w:rFonts w:ascii="Times New Roman" w:hAnsi="Times New Roman" w:cs="Times New Roman"/>
          <w:color w:val="333333"/>
          <w:sz w:val="16"/>
          <w:szCs w:val="16"/>
          <w:lang w:val="es-ES"/>
        </w:rPr>
        <w:t xml:space="preserve">Iron Deficiency Anemia (IDA): A Review. </w:t>
      </w:r>
      <w:r w:rsidRPr="00F87104">
        <w:rPr>
          <w:rFonts w:ascii="Times New Roman" w:hAnsi="Times New Roman" w:cs="Times New Roman"/>
          <w:color w:val="333333"/>
          <w:sz w:val="16"/>
          <w:szCs w:val="16"/>
        </w:rPr>
        <w:t>(2016). </w:t>
      </w:r>
      <w:r w:rsidRPr="00F87104">
        <w:rPr>
          <w:rFonts w:ascii="Times New Roman" w:hAnsi="Times New Roman" w:cs="Times New Roman"/>
          <w:i/>
          <w:color w:val="333333"/>
          <w:sz w:val="16"/>
          <w:szCs w:val="16"/>
        </w:rPr>
        <w:t>International Journal of Science and Research (IJSR),5</w:t>
      </w:r>
      <w:r w:rsidRPr="00F87104">
        <w:rPr>
          <w:rFonts w:ascii="Times New Roman" w:hAnsi="Times New Roman" w:cs="Times New Roman"/>
          <w:color w:val="333333"/>
          <w:sz w:val="16"/>
          <w:szCs w:val="16"/>
        </w:rPr>
        <w:t>(4), 1999-2003. doi:10.21275/v5i4.nov163083</w:t>
      </w:r>
    </w:p>
    <w:p w14:paraId="1AC6041C" w14:textId="77777777" w:rsidR="00A351BC" w:rsidRPr="00F87104" w:rsidRDefault="00A351BC">
      <w:pPr>
        <w:rPr>
          <w:rFonts w:ascii="Times New Roman" w:hAnsi="Times New Roman" w:cs="Times New Roman"/>
          <w:b/>
          <w:color w:val="222222"/>
          <w:sz w:val="20"/>
          <w:szCs w:val="20"/>
        </w:rPr>
      </w:pPr>
    </w:p>
    <w:p w14:paraId="39986018"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Salehpour, Farzad, et al. “Transcranial low-Level laser therapy improves brain mitochondrial function and cognitive impairment in D-Galactose induced aging mice.” Neurobiology of Aging, vol. 58, 2017, pp. 140–150., doi:10.1016/j.neurobiolaging.2017.06.025.</w:t>
      </w:r>
    </w:p>
    <w:p w14:paraId="25AB3BDB" w14:textId="77777777" w:rsidR="00A351BC" w:rsidRPr="00F87104" w:rsidRDefault="00A351BC">
      <w:pPr>
        <w:ind w:left="360" w:hanging="180"/>
        <w:rPr>
          <w:rFonts w:ascii="Times New Roman" w:hAnsi="Times New Roman" w:cs="Times New Roman"/>
          <w:sz w:val="16"/>
          <w:szCs w:val="16"/>
        </w:rPr>
      </w:pPr>
    </w:p>
    <w:p w14:paraId="352410C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lang w:val="es-ES"/>
        </w:rPr>
        <w:t xml:space="preserve">Rojas, Julio C., and F. Gonzalez-Lima. </w:t>
      </w:r>
      <w:r w:rsidRPr="00F87104">
        <w:rPr>
          <w:rFonts w:ascii="Times New Roman" w:hAnsi="Times New Roman" w:cs="Times New Roman"/>
          <w:color w:val="000000"/>
          <w:sz w:val="16"/>
          <w:szCs w:val="16"/>
        </w:rPr>
        <w:t>“Neurological and psychological applications of transcranial lasers and LEDs.” Biochemical Pharmacology, vol. 86, no. 4, 2013, pp. 447–457., doi:10.1016/j.bcp.2013.06.012.</w:t>
      </w:r>
    </w:p>
    <w:p w14:paraId="43A59D48" w14:textId="77777777" w:rsidR="00A351BC" w:rsidRPr="00F87104" w:rsidRDefault="00A351BC">
      <w:pPr>
        <w:ind w:left="360" w:hanging="180"/>
        <w:rPr>
          <w:rFonts w:ascii="Times New Roman" w:hAnsi="Times New Roman" w:cs="Times New Roman"/>
          <w:sz w:val="16"/>
          <w:szCs w:val="16"/>
        </w:rPr>
      </w:pPr>
    </w:p>
    <w:p w14:paraId="438FA2F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lang w:val="es-ES"/>
        </w:rPr>
        <w:t xml:space="preserve">Gonzalez-Lima, F., et al. </w:t>
      </w:r>
      <w:r w:rsidRPr="00F87104">
        <w:rPr>
          <w:rFonts w:ascii="Times New Roman" w:hAnsi="Times New Roman" w:cs="Times New Roman"/>
          <w:color w:val="000000"/>
          <w:sz w:val="16"/>
          <w:szCs w:val="16"/>
        </w:rPr>
        <w:t>“Mitochondrial respiration as a target for neuroprotection and cognitive enhancement.” Biochemical Pharmacology, vol. 88, no. 4, 2014, pp. 584–593., doi:10.1016/j.bcp.2013.11.010.</w:t>
      </w:r>
    </w:p>
    <w:p w14:paraId="786B55A3" w14:textId="77777777" w:rsidR="00A351BC" w:rsidRPr="00F87104" w:rsidRDefault="00A351BC">
      <w:pPr>
        <w:rPr>
          <w:rFonts w:ascii="Times New Roman" w:hAnsi="Times New Roman" w:cs="Times New Roman"/>
          <w:sz w:val="16"/>
          <w:szCs w:val="16"/>
        </w:rPr>
      </w:pPr>
    </w:p>
    <w:p w14:paraId="48C136BD" w14:textId="77777777" w:rsidR="00A351BC" w:rsidRPr="00F87104" w:rsidRDefault="00A351BC">
      <w:pPr>
        <w:pBdr>
          <w:top w:val="nil"/>
          <w:left w:val="nil"/>
          <w:bottom w:val="nil"/>
          <w:right w:val="nil"/>
          <w:between w:val="nil"/>
        </w:pBdr>
        <w:ind w:left="720" w:hanging="720"/>
        <w:rPr>
          <w:rFonts w:ascii="Times New Roman" w:hAnsi="Times New Roman" w:cs="Times New Roman"/>
          <w:color w:val="000000"/>
          <w:sz w:val="16"/>
          <w:szCs w:val="16"/>
        </w:rPr>
      </w:pPr>
    </w:p>
    <w:p w14:paraId="375DD97C" w14:textId="77777777" w:rsidR="00A351BC" w:rsidRPr="00F87104" w:rsidRDefault="00A351BC">
      <w:pPr>
        <w:ind w:left="360" w:hanging="180"/>
        <w:rPr>
          <w:rFonts w:ascii="Times New Roman" w:hAnsi="Times New Roman" w:cs="Times New Roman"/>
          <w:sz w:val="16"/>
          <w:szCs w:val="16"/>
        </w:rPr>
      </w:pPr>
    </w:p>
    <w:p w14:paraId="266D484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lang w:val="fr-FR"/>
        </w:rPr>
        <w:t xml:space="preserve">Chen, Jian-Jiao, et al. </w:t>
      </w:r>
      <w:r w:rsidRPr="00F87104">
        <w:rPr>
          <w:rFonts w:ascii="Times New Roman" w:hAnsi="Times New Roman" w:cs="Times New Roman"/>
          <w:color w:val="000000"/>
          <w:sz w:val="16"/>
          <w:szCs w:val="16"/>
        </w:rPr>
        <w:t>“Potential Roles of Exosomal MicroRNAs as Diagnostic Biomarkers and Therapeutic Application in Alzheimer’s Disease.” Neural Plasticity, vol. 2017, 2017, pp. 1–12., doi:10.1155/2017/7027380</w:t>
      </w:r>
    </w:p>
    <w:p w14:paraId="497BC582" w14:textId="77777777" w:rsidR="00A351BC" w:rsidRPr="00F87104" w:rsidRDefault="00A351BC">
      <w:pPr>
        <w:ind w:left="360" w:hanging="180"/>
        <w:rPr>
          <w:rFonts w:ascii="Times New Roman" w:hAnsi="Times New Roman" w:cs="Times New Roman"/>
          <w:sz w:val="16"/>
          <w:szCs w:val="16"/>
        </w:rPr>
      </w:pPr>
    </w:p>
    <w:p w14:paraId="2C54D8A8"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Lahner, D., and G. Fritsch. “Pathophysiologie intrakranieller Verletzungen.” Der Unfallchirurg, 2017, doi:10.1007/s00113-017-0388-0.</w:t>
      </w:r>
    </w:p>
    <w:p w14:paraId="4E0862FF" w14:textId="77777777" w:rsidR="00A351BC" w:rsidRPr="00F87104" w:rsidRDefault="00A351BC">
      <w:pPr>
        <w:ind w:left="360" w:hanging="180"/>
        <w:rPr>
          <w:rFonts w:ascii="Times New Roman" w:hAnsi="Times New Roman" w:cs="Times New Roman"/>
          <w:sz w:val="16"/>
          <w:szCs w:val="16"/>
        </w:rPr>
      </w:pPr>
    </w:p>
    <w:p w14:paraId="32CAB2CB"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Puentes, Fabiola, et al. “Neurofilament light as an immune target for pathogenic antibodies.” Immunology, Nov. 2017, doi:10.1111/imm.12797.</w:t>
      </w:r>
    </w:p>
    <w:p w14:paraId="2539EDA4" w14:textId="77777777" w:rsidR="00A351BC" w:rsidRPr="00F87104" w:rsidRDefault="00A351BC">
      <w:pPr>
        <w:ind w:left="360" w:hanging="180"/>
        <w:rPr>
          <w:rFonts w:ascii="Times New Roman" w:hAnsi="Times New Roman" w:cs="Times New Roman"/>
          <w:sz w:val="16"/>
          <w:szCs w:val="16"/>
        </w:rPr>
      </w:pPr>
    </w:p>
    <w:p w14:paraId="3A5E6287"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Blaylock, Russelll. “Immunoexcitatory mechanisms in glioma proliferation, invasion and occasional metastasis.” Surgical Neurology International, vol. 4, no. 1, 2013, p. 15., doi:10.4103/2152-7806.106577.</w:t>
      </w:r>
    </w:p>
    <w:p w14:paraId="51F6A67D" w14:textId="77777777" w:rsidR="00A351BC" w:rsidRPr="00F87104" w:rsidRDefault="00A351BC">
      <w:pPr>
        <w:ind w:left="360" w:hanging="180"/>
        <w:rPr>
          <w:rFonts w:ascii="Times New Roman" w:hAnsi="Times New Roman" w:cs="Times New Roman"/>
          <w:sz w:val="16"/>
          <w:szCs w:val="16"/>
        </w:rPr>
      </w:pPr>
    </w:p>
    <w:p w14:paraId="7E5DF441"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Bokara, Kiran Kumar, et al. “Influence of lead acetate on glutathione and its related enzymes in different regions of rat brain.” Journal of Applied Toxicology, vol. 29, no. 5, 2009, pp. 452–458., doi:10.1002/jat.1423.</w:t>
      </w:r>
    </w:p>
    <w:p w14:paraId="75706290" w14:textId="77777777" w:rsidR="00A351BC" w:rsidRPr="00F87104" w:rsidRDefault="00A351BC">
      <w:pPr>
        <w:ind w:left="360" w:hanging="180"/>
        <w:rPr>
          <w:rFonts w:ascii="Times New Roman" w:hAnsi="Times New Roman" w:cs="Times New Roman"/>
          <w:sz w:val="16"/>
          <w:szCs w:val="16"/>
        </w:rPr>
      </w:pPr>
    </w:p>
    <w:p w14:paraId="73821F60"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Zamroziewicz, Marta K., et al. “Nutritional status, brain network organization, and general intelligence.” NeuroImage, 2017, doi:10.1016/j.neuroimage.2017.08.043.</w:t>
      </w:r>
    </w:p>
    <w:p w14:paraId="61FAA9D2" w14:textId="77777777" w:rsidR="00A351BC" w:rsidRPr="00F87104" w:rsidRDefault="00A351BC">
      <w:pPr>
        <w:ind w:left="360" w:hanging="180"/>
        <w:rPr>
          <w:rFonts w:ascii="Times New Roman" w:hAnsi="Times New Roman" w:cs="Times New Roman"/>
          <w:sz w:val="16"/>
          <w:szCs w:val="16"/>
        </w:rPr>
      </w:pPr>
    </w:p>
    <w:p w14:paraId="6851D88B"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Fernández, Shirley Steffany Muñoz, et al. “Nutritional Strategies in the Management of Alzheimer Disease: Systematic Review With Network Meta-Analysis.” Journal of the American Medical Directors Association, 2017, doi:10.1016/j.jamda.2017.06.015.</w:t>
      </w:r>
    </w:p>
    <w:p w14:paraId="26ED44FC" w14:textId="77777777" w:rsidR="00A351BC" w:rsidRPr="00F87104" w:rsidRDefault="00A351BC">
      <w:pPr>
        <w:ind w:left="360" w:hanging="180"/>
        <w:rPr>
          <w:rFonts w:ascii="Times New Roman" w:hAnsi="Times New Roman" w:cs="Times New Roman"/>
          <w:sz w:val="16"/>
          <w:szCs w:val="16"/>
        </w:rPr>
      </w:pPr>
    </w:p>
    <w:p w14:paraId="777C2E0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Sarubbo, Fiorella, et al. “Effects of Resveratrol and other Polyphenols on the most common Brain Age-Related Diseases.” Current Medicinal Chemistry, vol. 24, 2017, doi:10.2174/0929867324666170724102743.</w:t>
      </w:r>
    </w:p>
    <w:p w14:paraId="71FE51AD" w14:textId="77777777" w:rsidR="00A351BC" w:rsidRPr="00F87104" w:rsidRDefault="00A351BC">
      <w:pPr>
        <w:ind w:left="360" w:hanging="180"/>
        <w:rPr>
          <w:rFonts w:ascii="Times New Roman" w:hAnsi="Times New Roman" w:cs="Times New Roman"/>
          <w:sz w:val="16"/>
          <w:szCs w:val="16"/>
        </w:rPr>
      </w:pPr>
    </w:p>
    <w:p w14:paraId="44904E5C"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Sherwin, Eoin, et al. “Recent developments in understanding the role of the gut microbiota in brain health and disease.” Annals of the New York Academy of Sciences, Feb. 2017, doi:10.1111/nyas.13416.</w:t>
      </w:r>
    </w:p>
    <w:p w14:paraId="6F1B0AA4" w14:textId="77777777" w:rsidR="00A351BC" w:rsidRPr="00F87104" w:rsidRDefault="00A351BC">
      <w:pPr>
        <w:ind w:left="360" w:hanging="180"/>
        <w:rPr>
          <w:rFonts w:ascii="Times New Roman" w:hAnsi="Times New Roman" w:cs="Times New Roman"/>
          <w:sz w:val="16"/>
          <w:szCs w:val="16"/>
        </w:rPr>
      </w:pPr>
    </w:p>
    <w:p w14:paraId="7B743301"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Sherwin, Eoin, et al. “A gut (Microbiome) feeling about the brain.” Current Opinion in Gastroenterology, vol. 32, no. 2, 2016, pp. 96–102., doi:10.1097/mog.0000000000000244.</w:t>
      </w:r>
    </w:p>
    <w:p w14:paraId="33D5B044" w14:textId="77777777" w:rsidR="00A351BC" w:rsidRPr="00F87104" w:rsidRDefault="00A351BC">
      <w:pPr>
        <w:ind w:left="360" w:hanging="180"/>
        <w:rPr>
          <w:rFonts w:ascii="Times New Roman" w:hAnsi="Times New Roman" w:cs="Times New Roman"/>
          <w:sz w:val="16"/>
          <w:szCs w:val="16"/>
        </w:rPr>
      </w:pPr>
    </w:p>
    <w:p w14:paraId="27D7E0C5"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Stoccoro, Andrea, et al. “Decreased Methylation of the Mitochondrial D-Loop Region in Late-Onset Alzheimer’s Disease.” Journal of Alzheimers Disease, vol. 59, no. 2, 2017, pp. 559–564., doi:10.3233/jad-170139.</w:t>
      </w:r>
    </w:p>
    <w:p w14:paraId="1FD6A4A9" w14:textId="77777777" w:rsidR="00A351BC" w:rsidRPr="00F87104" w:rsidRDefault="00A351BC">
      <w:pPr>
        <w:ind w:left="360" w:hanging="180"/>
        <w:rPr>
          <w:rFonts w:ascii="Times New Roman" w:hAnsi="Times New Roman" w:cs="Times New Roman"/>
          <w:sz w:val="16"/>
          <w:szCs w:val="16"/>
        </w:rPr>
      </w:pPr>
    </w:p>
    <w:p w14:paraId="087798A0"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Francesco, Andrea Di, et al. “Global changes in DNA methylation in Alzheimer’s disease peripheral blood mononuclear cells.” Brain, Behavior, and Immunity, vol. 45, 2015, pp. 139–144., doi:10.1016/j.bbi.2014.11.002.</w:t>
      </w:r>
    </w:p>
    <w:p w14:paraId="6F26F290" w14:textId="77777777" w:rsidR="00A351BC" w:rsidRPr="00F87104" w:rsidRDefault="00A351BC">
      <w:pPr>
        <w:ind w:left="360" w:hanging="180"/>
        <w:rPr>
          <w:rFonts w:ascii="Times New Roman" w:hAnsi="Times New Roman" w:cs="Times New Roman"/>
          <w:sz w:val="16"/>
          <w:szCs w:val="16"/>
        </w:rPr>
      </w:pPr>
    </w:p>
    <w:p w14:paraId="4434603E"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lang w:val="fr-FR"/>
        </w:rPr>
        <w:t xml:space="preserve">Guillemin, Gilles J., et al. </w:t>
      </w:r>
      <w:r w:rsidRPr="00F87104">
        <w:rPr>
          <w:rFonts w:ascii="Times New Roman" w:hAnsi="Times New Roman" w:cs="Times New Roman"/>
          <w:color w:val="000000"/>
          <w:sz w:val="16"/>
          <w:szCs w:val="16"/>
        </w:rPr>
        <w:t xml:space="preserve">“Dietary Supplements/Antioxidants: Impact on Redox Status in Brain Diseases.” Oxidative Medicine and Cellular Longevity, vol. 2017, 2017, pp. 1–2., doi:10.1155/2017/5048432. </w:t>
      </w:r>
    </w:p>
    <w:p w14:paraId="285D13F3" w14:textId="77777777" w:rsidR="00A351BC" w:rsidRPr="00F87104" w:rsidRDefault="00A351BC">
      <w:pPr>
        <w:ind w:left="360" w:hanging="180"/>
        <w:rPr>
          <w:rFonts w:ascii="Times New Roman" w:hAnsi="Times New Roman" w:cs="Times New Roman"/>
          <w:sz w:val="16"/>
          <w:szCs w:val="16"/>
        </w:rPr>
      </w:pPr>
    </w:p>
    <w:p w14:paraId="15D31A8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lang w:val="fr-FR"/>
        </w:rPr>
        <w:t xml:space="preserve">Byun, Min Soo, et al. </w:t>
      </w:r>
      <w:r w:rsidRPr="00F87104">
        <w:rPr>
          <w:rFonts w:ascii="Times New Roman" w:hAnsi="Times New Roman" w:cs="Times New Roman"/>
          <w:color w:val="000000"/>
          <w:sz w:val="16"/>
          <w:szCs w:val="16"/>
        </w:rPr>
        <w:t xml:space="preserve">“Differential effects of blood insulin and HbA1c on cerebral amyloid burden and neurodegeneration in nondiabetic cognitively normal older adults.” Neurobiology of Aging, vol. 59, 2017, pp. 15–21., doi:10.1016/j.neurobiolaging.2017.07.004. </w:t>
      </w:r>
    </w:p>
    <w:p w14:paraId="5EAEAC26" w14:textId="77777777" w:rsidR="00A351BC" w:rsidRPr="00F87104" w:rsidRDefault="00A351BC">
      <w:pPr>
        <w:ind w:left="360" w:hanging="180"/>
        <w:rPr>
          <w:rFonts w:ascii="Times New Roman" w:hAnsi="Times New Roman" w:cs="Times New Roman"/>
          <w:sz w:val="16"/>
          <w:szCs w:val="16"/>
        </w:rPr>
      </w:pPr>
    </w:p>
    <w:p w14:paraId="6E0F2397"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Schreiber, Stefanie, et al. “Alzheimer Disease Signature Neurodegeneration and APOE Genotype in Mild Cognitive Impairment With Suspected Non–Alzheimer Disease Pathophysiology.” JAMA Neurology, vol. 74, no. 6, Jan. 2017, p. 650., doi:10.1001/jamaneurol.2016.5349.</w:t>
      </w:r>
    </w:p>
    <w:p w14:paraId="55D54660" w14:textId="77777777" w:rsidR="00A351BC" w:rsidRPr="00F87104" w:rsidRDefault="00A351BC">
      <w:pPr>
        <w:ind w:left="360" w:hanging="180"/>
        <w:rPr>
          <w:rFonts w:ascii="Times New Roman" w:hAnsi="Times New Roman" w:cs="Times New Roman"/>
          <w:sz w:val="16"/>
          <w:szCs w:val="16"/>
        </w:rPr>
      </w:pPr>
    </w:p>
    <w:p w14:paraId="71F9A7B7"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Kempuraj, Duraisamy, et al. “Brain and Peripheral Atypical Inflammatory Mediators Potentiate Neuroinflammation and Neurodegeneration.” Frontiers in Cellular Neuroscience, vol. 11, 2017, doi:10.3389/fncel.2017.00216.</w:t>
      </w:r>
    </w:p>
    <w:p w14:paraId="11A40554" w14:textId="77777777" w:rsidR="00A351BC" w:rsidRPr="00F87104" w:rsidRDefault="00A351BC">
      <w:pPr>
        <w:ind w:left="360" w:hanging="180"/>
        <w:rPr>
          <w:rFonts w:ascii="Times New Roman" w:hAnsi="Times New Roman" w:cs="Times New Roman"/>
          <w:sz w:val="16"/>
          <w:szCs w:val="16"/>
        </w:rPr>
      </w:pPr>
    </w:p>
    <w:p w14:paraId="5C6D261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lang w:val="es-ES"/>
        </w:rPr>
        <w:t xml:space="preserve">León-Olea, Martha, et al. </w:t>
      </w:r>
      <w:r w:rsidRPr="00F87104">
        <w:rPr>
          <w:rFonts w:ascii="Times New Roman" w:hAnsi="Times New Roman" w:cs="Times New Roman"/>
          <w:color w:val="000000"/>
          <w:sz w:val="16"/>
          <w:szCs w:val="16"/>
        </w:rPr>
        <w:t>“Current concepts in neuroendocrine disruption.” General and Comparative Endocrinology, vol. 203, 2014, pp. 158–173., doi:10.1016/j.ygcen.2014.02.005.</w:t>
      </w:r>
    </w:p>
    <w:p w14:paraId="625AC0CE" w14:textId="77777777" w:rsidR="00A351BC" w:rsidRPr="00F87104" w:rsidRDefault="00A351BC">
      <w:pPr>
        <w:ind w:left="360" w:hanging="180"/>
        <w:rPr>
          <w:rFonts w:ascii="Times New Roman" w:hAnsi="Times New Roman" w:cs="Times New Roman"/>
          <w:sz w:val="16"/>
          <w:szCs w:val="16"/>
        </w:rPr>
      </w:pPr>
    </w:p>
    <w:p w14:paraId="4EA37C1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American Congress of Rehabilitative Medicine [ACRM] (1993). Definition of mild traumatic brain injury. Journal of Head Trauma Rehabil. 1993;8:86–87. Retrieved from </w:t>
      </w:r>
      <w:hyperlink r:id="rId7">
        <w:r w:rsidRPr="00F87104">
          <w:rPr>
            <w:rFonts w:ascii="Times New Roman" w:hAnsi="Times New Roman" w:cs="Times New Roman"/>
            <w:color w:val="0563C1"/>
            <w:sz w:val="16"/>
            <w:szCs w:val="16"/>
            <w:u w:val="single"/>
          </w:rPr>
          <w:t>https://www.acrm.org/wp-content/uploads/pdf/TBIDef_English_10-10.pdf</w:t>
        </w:r>
      </w:hyperlink>
      <w:r w:rsidRPr="00F87104">
        <w:rPr>
          <w:rFonts w:ascii="Times New Roman" w:hAnsi="Times New Roman" w:cs="Times New Roman"/>
          <w:color w:val="000000"/>
          <w:sz w:val="16"/>
          <w:szCs w:val="16"/>
        </w:rPr>
        <w:t xml:space="preserve"> Bedard, M., Felteau, M., Cullen, N., Gibbons, C., Dubios, S., Maxwell, H., Moustgaard, A. (2014, August). </w:t>
      </w:r>
    </w:p>
    <w:p w14:paraId="70DD9091" w14:textId="77777777" w:rsidR="00A351BC" w:rsidRPr="00F87104" w:rsidRDefault="00A351BC">
      <w:pPr>
        <w:ind w:left="360" w:hanging="180"/>
        <w:rPr>
          <w:rFonts w:ascii="Times New Roman" w:hAnsi="Times New Roman" w:cs="Times New Roman"/>
          <w:sz w:val="16"/>
          <w:szCs w:val="16"/>
        </w:rPr>
      </w:pPr>
    </w:p>
    <w:p w14:paraId="7F000CAC"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Mindfulness-based cognitive therapy reduces symptoms of depression in people with a traumatic brain injury: results from a randomizedcontrolled trial. J Head Trauma Rehabil., 29(4), 13-22. PubMed pmid:</w:t>
      </w:r>
    </w:p>
    <w:p w14:paraId="3FF32862"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24052092. doi: 10.1097/HTR.0b013e3182a615a0.</w:t>
      </w:r>
    </w:p>
    <w:p w14:paraId="6E6101DA" w14:textId="77777777" w:rsidR="00A351BC" w:rsidRPr="00F87104" w:rsidRDefault="00A351BC">
      <w:pPr>
        <w:rPr>
          <w:rFonts w:ascii="Times New Roman" w:hAnsi="Times New Roman" w:cs="Times New Roman"/>
          <w:sz w:val="16"/>
          <w:szCs w:val="16"/>
        </w:rPr>
      </w:pPr>
    </w:p>
    <w:p w14:paraId="1A9108A0" w14:textId="77777777" w:rsidR="00A351BC" w:rsidRPr="00F87104" w:rsidRDefault="00A351BC">
      <w:pPr>
        <w:rPr>
          <w:rFonts w:ascii="Times New Roman" w:hAnsi="Times New Roman" w:cs="Times New Roman"/>
          <w:sz w:val="16"/>
          <w:szCs w:val="16"/>
        </w:rPr>
      </w:pPr>
    </w:p>
    <w:p w14:paraId="4904A27D" w14:textId="77777777" w:rsidR="00A351BC" w:rsidRPr="00F87104" w:rsidRDefault="00A351BC">
      <w:pPr>
        <w:rPr>
          <w:rFonts w:ascii="Times New Roman" w:hAnsi="Times New Roman" w:cs="Times New Roman"/>
          <w:sz w:val="16"/>
          <w:szCs w:val="16"/>
        </w:rPr>
      </w:pPr>
    </w:p>
    <w:p w14:paraId="51DA705F" w14:textId="77777777" w:rsidR="00A351BC" w:rsidRPr="00F87104" w:rsidRDefault="00A351BC">
      <w:pPr>
        <w:ind w:left="360" w:hanging="180"/>
        <w:rPr>
          <w:rFonts w:ascii="Times New Roman" w:hAnsi="Times New Roman" w:cs="Times New Roman"/>
          <w:sz w:val="16"/>
          <w:szCs w:val="16"/>
        </w:rPr>
      </w:pPr>
    </w:p>
    <w:p w14:paraId="4415D9FB"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Bonds, B., Yang, S., Kalpakis, K., Stansbury, L., Scalea, T., Stein, DM. (2015, July). Predicting secondary insults after severe traumatic brain injury. J Trauma AcuteCare Surg. 79(1): 85-90. PubMed pmid: 26091319. doi: 10.1097/TA.0000000000000698</w:t>
      </w:r>
    </w:p>
    <w:p w14:paraId="15585A7D" w14:textId="77777777" w:rsidR="00A351BC" w:rsidRPr="00F87104" w:rsidRDefault="00A351BC">
      <w:pPr>
        <w:ind w:left="360" w:hanging="180"/>
        <w:rPr>
          <w:rFonts w:ascii="Times New Roman" w:hAnsi="Times New Roman" w:cs="Times New Roman"/>
          <w:sz w:val="16"/>
          <w:szCs w:val="16"/>
        </w:rPr>
      </w:pPr>
    </w:p>
    <w:p w14:paraId="79941AE3"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Brock, B., Kharrazian, D., Yanuck, S., Zielinski, G., Pierce, M., Noseworthy, S., Powell, M. (2013). The potential impact of various physiological mechanisms on outcomes in TBI, mTBI, concussion and PPCS. Funct Neurol Rehabil Ergon, 3(2-3)</w:t>
      </w:r>
    </w:p>
    <w:p w14:paraId="41D8807C" w14:textId="77777777" w:rsidR="00A351BC" w:rsidRPr="00F87104" w:rsidRDefault="00A351BC">
      <w:pPr>
        <w:ind w:left="360" w:hanging="180"/>
        <w:rPr>
          <w:rFonts w:ascii="Times New Roman" w:hAnsi="Times New Roman" w:cs="Times New Roman"/>
          <w:sz w:val="16"/>
          <w:szCs w:val="16"/>
        </w:rPr>
      </w:pPr>
    </w:p>
    <w:p w14:paraId="29C5DF01"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Carrick, F. R., McLellan, K., Brock, J. B., Randall, C., &amp; Oggero, E. (2015a). Evaluation of the Effectiveness of a Novel Brain and Vestibular Rehabilitation Treatment Modality in PTSD Patients Who have Suffered Combat-Related Traumatic Brain Injuries. Frontiers in Public Health, 3, 15. </w:t>
      </w:r>
      <w:hyperlink r:id="rId8">
        <w:r w:rsidRPr="00F87104">
          <w:rPr>
            <w:rFonts w:ascii="Times New Roman" w:hAnsi="Times New Roman" w:cs="Times New Roman"/>
            <w:color w:val="0563C1"/>
            <w:sz w:val="16"/>
            <w:szCs w:val="16"/>
            <w:u w:val="single"/>
          </w:rPr>
          <w:t>http://doi.org.ezpprod1</w:t>
        </w:r>
      </w:hyperlink>
      <w:r w:rsidRPr="00F87104">
        <w:rPr>
          <w:rFonts w:ascii="Times New Roman" w:hAnsi="Times New Roman" w:cs="Times New Roman"/>
          <w:color w:val="000000"/>
          <w:sz w:val="16"/>
          <w:szCs w:val="16"/>
        </w:rPr>
        <w:t>. hul.harvard.edu/10.3389/fpubh.2015.00015</w:t>
      </w:r>
    </w:p>
    <w:p w14:paraId="2708E78E" w14:textId="77777777" w:rsidR="00A351BC" w:rsidRPr="00F87104" w:rsidRDefault="00A351BC">
      <w:pPr>
        <w:ind w:left="360" w:hanging="180"/>
        <w:rPr>
          <w:rFonts w:ascii="Times New Roman" w:hAnsi="Times New Roman" w:cs="Times New Roman"/>
          <w:sz w:val="16"/>
          <w:szCs w:val="16"/>
        </w:rPr>
      </w:pPr>
    </w:p>
    <w:p w14:paraId="1BA80349"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Carrick, F. R., Pagnacco, G., McLellan, K., Solis, R., Shores, J., Fredieu, A., … Oggero,</w:t>
      </w:r>
    </w:p>
    <w:p w14:paraId="1792D30D"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E. (2015b). Short- and Long-Term Effectiveness of a Subject’s Specific Novel Brain and Vestibular Rehabilitation Treatment Modality in Combat Veterans Suffering from PTSD. Frontiers in Public Health, 3, 151. </w:t>
      </w:r>
      <w:hyperlink r:id="rId9">
        <w:r w:rsidRPr="00F87104">
          <w:rPr>
            <w:rFonts w:ascii="Times New Roman" w:hAnsi="Times New Roman" w:cs="Times New Roman"/>
            <w:color w:val="0563C1"/>
            <w:sz w:val="16"/>
            <w:szCs w:val="16"/>
            <w:u w:val="single"/>
          </w:rPr>
          <w:t>http://doi.org.ezpprod1</w:t>
        </w:r>
      </w:hyperlink>
      <w:r w:rsidRPr="00F87104">
        <w:rPr>
          <w:rFonts w:ascii="Times New Roman" w:hAnsi="Times New Roman" w:cs="Times New Roman"/>
          <w:color w:val="000000"/>
          <w:sz w:val="16"/>
          <w:szCs w:val="16"/>
        </w:rPr>
        <w:t>. hul.harvard.edu/10.3389/fpubh.2015.00151</w:t>
      </w:r>
    </w:p>
    <w:p w14:paraId="76B750CB" w14:textId="77777777" w:rsidR="00A351BC" w:rsidRPr="00F87104" w:rsidRDefault="00A351BC">
      <w:pPr>
        <w:ind w:left="360" w:hanging="180"/>
        <w:rPr>
          <w:rFonts w:ascii="Times New Roman" w:hAnsi="Times New Roman" w:cs="Times New Roman"/>
          <w:sz w:val="16"/>
          <w:szCs w:val="16"/>
        </w:rPr>
      </w:pPr>
    </w:p>
    <w:p w14:paraId="71A368FD"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Carroll, LJ., Cassidy, JD., Peloso, PM., Borg J., Von Holst, H., Holm, L., Paniac, C.,</w:t>
      </w:r>
    </w:p>
    <w:p w14:paraId="24FFABD2"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Pepin, M. (2004, Feb). Incidence, risk factors and prevention of mild traumatic brain injury: Results of the WHO collaborating centre task force on mild traumatic brain injury. Journal of Rehabilitation Medicine, 36(43) 28–60. PubMed pmid: 15083870. doi: 10.1080/16501960410023732</w:t>
      </w:r>
    </w:p>
    <w:p w14:paraId="7F6F5F24" w14:textId="77777777" w:rsidR="00A351BC" w:rsidRPr="00F87104" w:rsidRDefault="00A351BC">
      <w:pPr>
        <w:ind w:left="360" w:hanging="180"/>
        <w:rPr>
          <w:rFonts w:ascii="Times New Roman" w:hAnsi="Times New Roman" w:cs="Times New Roman"/>
          <w:sz w:val="16"/>
          <w:szCs w:val="16"/>
        </w:rPr>
      </w:pPr>
    </w:p>
    <w:p w14:paraId="6EA1EFB2"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28. Hadanny, A., &amp; Efrati, S. (2016, July 4). Treatment of persistent post-concussion syndrome due to mild traumatic brain injury: current status and        future directions. Expert Review of Neurotherapeutics, 16(8), 875-887. PubMed pmid: 27337294. doi: 10.1080/14737175.2016.1205487</w:t>
      </w:r>
    </w:p>
    <w:p w14:paraId="5575772C" w14:textId="77777777" w:rsidR="00A351BC" w:rsidRPr="00F87104" w:rsidRDefault="00A351BC">
      <w:pPr>
        <w:ind w:left="360" w:hanging="180"/>
        <w:rPr>
          <w:rFonts w:ascii="Times New Roman" w:hAnsi="Times New Roman" w:cs="Times New Roman"/>
          <w:sz w:val="16"/>
          <w:szCs w:val="16"/>
        </w:rPr>
      </w:pPr>
    </w:p>
    <w:p w14:paraId="1669C866"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Hitier, M., Besnard, S., &amp; Smith, P. (2014, July, 2014). Vestibular pathways involved in cognition. Integrative Neuroscience, 8(59). PubMed pmid: 25100954. doi: 10.3389/fnint.2014.00059</w:t>
      </w:r>
    </w:p>
    <w:p w14:paraId="7339BCBB" w14:textId="77777777" w:rsidR="00A351BC" w:rsidRPr="00F87104" w:rsidRDefault="00A351BC">
      <w:pPr>
        <w:ind w:left="360" w:hanging="180"/>
        <w:rPr>
          <w:rFonts w:ascii="Times New Roman" w:hAnsi="Times New Roman" w:cs="Times New Roman"/>
          <w:sz w:val="16"/>
          <w:szCs w:val="16"/>
        </w:rPr>
      </w:pPr>
    </w:p>
    <w:p w14:paraId="090A3D4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Fauth, M., &amp; Tetzlaff, C. (2016, June, 28). Opposing Effects of Neuronal Activity on Structural Plasticity. Front. Neuroanat. 10(75). PubMed pmid: 27445713. doi.org/http://dx.doi.org/10.3389/fnana.2016.00075</w:t>
      </w:r>
    </w:p>
    <w:p w14:paraId="68DEBE69" w14:textId="77777777" w:rsidR="00A351BC" w:rsidRPr="00F87104" w:rsidRDefault="00A351BC">
      <w:pPr>
        <w:ind w:left="360" w:hanging="180"/>
        <w:rPr>
          <w:rFonts w:ascii="Times New Roman" w:hAnsi="Times New Roman" w:cs="Times New Roman"/>
          <w:sz w:val="16"/>
          <w:szCs w:val="16"/>
        </w:rPr>
      </w:pPr>
    </w:p>
    <w:p w14:paraId="443BC39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Gardner, R., &amp; Yaffe, K. (2015, May 6). Epidemiology of mild traumatic brain injury and neurodegenerative disease. Mol Cell Neurosci. 66, 134-41. PubMed pmid: 25748121. PMCID: PMC4461453. doi: 10.1016/j.mcn.2015.03.001 Gay, M. (2016, Sep). Treatment Perspectives Based on Our Current Understanding of Concussion. Sports Med Arthrosc., 24(3):134-41. PubMed pmid: 27482780. doi: 10.1097/JSA.0000000000000124</w:t>
      </w:r>
    </w:p>
    <w:p w14:paraId="43CC7FCE" w14:textId="77777777" w:rsidR="00A351BC" w:rsidRPr="00F87104" w:rsidRDefault="00A351BC">
      <w:pPr>
        <w:ind w:left="360" w:hanging="180"/>
        <w:rPr>
          <w:rFonts w:ascii="Times New Roman" w:hAnsi="Times New Roman" w:cs="Times New Roman"/>
          <w:sz w:val="16"/>
          <w:szCs w:val="16"/>
        </w:rPr>
      </w:pPr>
    </w:p>
    <w:p w14:paraId="174FE1E6"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Gottshall, K. (2011). Vestibular rehabilitation after mild traumatic brain injury with vestibular pathology. NeuroRehabilitation. 29, 167-71. PubMed pmid: 22027078. doi: 10.3233/NRE-2011-0691</w:t>
      </w:r>
    </w:p>
    <w:p w14:paraId="6E99E2C8" w14:textId="77777777" w:rsidR="00A351BC" w:rsidRPr="00F87104" w:rsidRDefault="00A351BC">
      <w:pPr>
        <w:ind w:left="360" w:hanging="180"/>
        <w:rPr>
          <w:rFonts w:ascii="Times New Roman" w:hAnsi="Times New Roman" w:cs="Times New Roman"/>
          <w:sz w:val="16"/>
          <w:szCs w:val="16"/>
        </w:rPr>
      </w:pPr>
    </w:p>
    <w:p w14:paraId="209E15A2"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Hitier, M., Besnard, S., &amp; Smith, PF. (2014, July). Vestibular pathways involved in cognition. INTEGRATIVE NEUROSCIENCE. PubMed pmid: 25100954. PMCID: PMC4107830. doi.org/10.3389/fnint.2014.00059</w:t>
      </w:r>
    </w:p>
    <w:p w14:paraId="6BB0AECE" w14:textId="77777777" w:rsidR="00A351BC" w:rsidRPr="00F87104" w:rsidRDefault="00A351BC">
      <w:pPr>
        <w:ind w:left="360" w:hanging="180"/>
        <w:rPr>
          <w:rFonts w:ascii="Times New Roman" w:hAnsi="Times New Roman" w:cs="Times New Roman"/>
          <w:sz w:val="16"/>
          <w:szCs w:val="16"/>
        </w:rPr>
      </w:pPr>
    </w:p>
    <w:p w14:paraId="742F158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Jaramillo, C., Eapen, B., Tate, D., Balden, V., Kennedy, J., Bunner, A., &amp; Cooper, D. B. (2015, September). Treatment of persistent post-concussive symptoms after mild traumatic brain injury: a systematic review of cognitive rehabilitation and behavioral health interventions in military service members and veterans. Brain Imaging and Behavior, 9(3):403-20. PubMed pmid: 26330376. doi: 10.1007/s11682-015-9440-2</w:t>
      </w:r>
    </w:p>
    <w:p w14:paraId="4D5B118C" w14:textId="77777777" w:rsidR="00A351BC" w:rsidRPr="00F87104" w:rsidRDefault="00A351BC">
      <w:pPr>
        <w:ind w:left="360" w:hanging="180"/>
        <w:rPr>
          <w:rFonts w:ascii="Times New Roman" w:hAnsi="Times New Roman" w:cs="Times New Roman"/>
          <w:sz w:val="16"/>
          <w:szCs w:val="16"/>
        </w:rPr>
      </w:pPr>
    </w:p>
    <w:p w14:paraId="39BD18C7"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Lew, H., Ochs, A., Cifu, D., Walker, W., &amp; Frank, L. (2012, Nov). Sensory integrative dysfunction underlying vestibular disorders after traumatic brain injury: a review. Rehabil Res Dev., 49(7), 985-94. doi.org/10.1682/JRRD.2011.12.0250</w:t>
      </w:r>
    </w:p>
    <w:p w14:paraId="266C59DE" w14:textId="77777777" w:rsidR="00A351BC" w:rsidRPr="00F87104" w:rsidRDefault="00A351BC">
      <w:pPr>
        <w:ind w:left="360" w:hanging="180"/>
        <w:rPr>
          <w:rFonts w:ascii="Times New Roman" w:hAnsi="Times New Roman" w:cs="Times New Roman"/>
          <w:sz w:val="16"/>
          <w:szCs w:val="16"/>
        </w:rPr>
      </w:pPr>
    </w:p>
    <w:p w14:paraId="25C06FBE"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Lovell, M. (2015). ImPACT: An Evidence-Based and Comprehensive Concussion Management Program. ImPACT Reseach Report, 3. Retrieved from https://www.impacttest.com/_admin/uploads/research-report-q2-2015-final.pdf</w:t>
      </w:r>
    </w:p>
    <w:p w14:paraId="628B9A8C" w14:textId="77777777" w:rsidR="00A351BC" w:rsidRPr="00F87104" w:rsidRDefault="00A351BC">
      <w:pPr>
        <w:ind w:left="360" w:hanging="180"/>
        <w:rPr>
          <w:rFonts w:ascii="Times New Roman" w:hAnsi="Times New Roman" w:cs="Times New Roman"/>
          <w:sz w:val="16"/>
          <w:szCs w:val="16"/>
        </w:rPr>
      </w:pPr>
    </w:p>
    <w:p w14:paraId="20B4D47D"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lastRenderedPageBreak/>
        <w:t>Maroon, JC, Lepere, DB, Blaylock, RL, Bost, JW. (2012, Nov). Postconcussion syndrome: A review of pathophysiology and potential nonpharmacological approaches to treatment. Phys Sportsmed. 40(4):73-87. PubMed pmid: 23306417. doi: 10.3810/psm.2012.11.1990.</w:t>
      </w:r>
    </w:p>
    <w:p w14:paraId="54487AE7" w14:textId="77777777" w:rsidR="00A351BC" w:rsidRPr="00F87104" w:rsidRDefault="00A351BC">
      <w:pPr>
        <w:ind w:left="360" w:hanging="180"/>
        <w:rPr>
          <w:rFonts w:ascii="Times New Roman" w:hAnsi="Times New Roman" w:cs="Times New Roman"/>
          <w:sz w:val="16"/>
          <w:szCs w:val="16"/>
        </w:rPr>
      </w:pPr>
    </w:p>
    <w:p w14:paraId="7B9FD24C"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lang w:val="es-ES"/>
        </w:rPr>
        <w:t xml:space="preserve">Mizobuchi, Y., &amp; Nagahiro, S. (2016, April 12). </w:t>
      </w:r>
      <w:r w:rsidRPr="00F87104">
        <w:rPr>
          <w:rFonts w:ascii="Times New Roman" w:hAnsi="Times New Roman" w:cs="Times New Roman"/>
          <w:color w:val="000000"/>
          <w:sz w:val="16"/>
          <w:szCs w:val="16"/>
        </w:rPr>
        <w:t>A Review of Sport-Related Head Injuries. J. Neurotrauma., (1):1-18. PubMed pmid: 27182494 PMCID: PMC4866563. doi: 10.1089/neu.2013.3079.</w:t>
      </w:r>
    </w:p>
    <w:p w14:paraId="3D539A68" w14:textId="77777777" w:rsidR="00A351BC" w:rsidRPr="00F87104" w:rsidRDefault="00A351BC">
      <w:pPr>
        <w:ind w:left="360" w:hanging="180"/>
        <w:rPr>
          <w:rFonts w:ascii="Times New Roman" w:hAnsi="Times New Roman" w:cs="Times New Roman"/>
          <w:sz w:val="16"/>
          <w:szCs w:val="16"/>
        </w:rPr>
      </w:pPr>
    </w:p>
    <w:p w14:paraId="4B5757BB"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39, Ostry, DJ., &amp; Gribble, PL. (2016, Feb). Sensory Plasticity in Human Motor Learning. Trends Neurosci. 39(2):114-23. PubMed pmid: 26774345. PMCID: PMC4737984. doi: 10.1016/j.tins.2015.12.006</w:t>
      </w:r>
    </w:p>
    <w:p w14:paraId="70CD7380" w14:textId="77777777" w:rsidR="00A351BC" w:rsidRPr="00F87104" w:rsidRDefault="00A351BC">
      <w:pPr>
        <w:ind w:left="360" w:hanging="180"/>
        <w:rPr>
          <w:rFonts w:ascii="Times New Roman" w:hAnsi="Times New Roman" w:cs="Times New Roman"/>
          <w:sz w:val="16"/>
          <w:szCs w:val="16"/>
        </w:rPr>
      </w:pPr>
    </w:p>
    <w:p w14:paraId="14D4FC26" w14:textId="77777777" w:rsidR="00A351BC" w:rsidRPr="00F87104" w:rsidRDefault="00A351BC">
      <w:pPr>
        <w:ind w:left="360" w:hanging="180"/>
        <w:rPr>
          <w:rFonts w:ascii="Times New Roman" w:hAnsi="Times New Roman" w:cs="Times New Roman"/>
          <w:sz w:val="16"/>
          <w:szCs w:val="16"/>
        </w:rPr>
      </w:pPr>
    </w:p>
    <w:p w14:paraId="49DA0104" w14:textId="77777777" w:rsidR="00A351BC" w:rsidRPr="00F87104" w:rsidRDefault="00A351BC">
      <w:pPr>
        <w:ind w:left="360" w:hanging="180"/>
        <w:rPr>
          <w:rFonts w:ascii="Times New Roman" w:hAnsi="Times New Roman" w:cs="Times New Roman"/>
          <w:sz w:val="16"/>
          <w:szCs w:val="16"/>
        </w:rPr>
      </w:pPr>
    </w:p>
    <w:p w14:paraId="4B65CDAB" w14:textId="77777777" w:rsidR="00A351BC" w:rsidRPr="00F87104" w:rsidRDefault="00A351BC">
      <w:pPr>
        <w:ind w:left="360" w:hanging="180"/>
        <w:rPr>
          <w:rFonts w:ascii="Times New Roman" w:hAnsi="Times New Roman" w:cs="Times New Roman"/>
          <w:sz w:val="16"/>
          <w:szCs w:val="16"/>
        </w:rPr>
      </w:pPr>
    </w:p>
    <w:p w14:paraId="1B900372"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40. Potter, SD., Brown, RG., &amp; Fleminger, S. (2016, Aug 5). Randomised, waiting list controlled trial of cognitive-behavioural therapy for persistent postconcussional symptoms after predominantly mild-moderate traumatic brain injury. J Neurol Neurosurg Psychiatry. PubMed pmid: 27496149. doi.org/10.1136/jnnp-2015- 312838</w:t>
      </w:r>
    </w:p>
    <w:p w14:paraId="7EE0FC95" w14:textId="77777777" w:rsidR="00A351BC" w:rsidRPr="00F87104" w:rsidRDefault="00A351BC">
      <w:pPr>
        <w:ind w:left="360" w:hanging="180"/>
        <w:rPr>
          <w:rFonts w:ascii="Times New Roman" w:hAnsi="Times New Roman" w:cs="Times New Roman"/>
          <w:sz w:val="16"/>
          <w:szCs w:val="16"/>
        </w:rPr>
      </w:pPr>
    </w:p>
    <w:p w14:paraId="1846EDF9"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41. Shen, Q., Hiebert, JB., Hartwell, J., Thimmesch, AR., &amp; Pierce, JD. (2016). SystematicReview of Traumatic Brain Injury and the Impact of Antioxidant Therapy on Clinical Outcomes. Worldviews on Evidence-Based Nursing, 13(5):380 389. PubMed pmid: 27243770. doi: 10.1111/wvn.12167</w:t>
      </w:r>
    </w:p>
    <w:p w14:paraId="74241716" w14:textId="77777777" w:rsidR="00A351BC" w:rsidRPr="00F87104" w:rsidRDefault="00A351BC">
      <w:pPr>
        <w:ind w:left="360" w:hanging="180"/>
        <w:rPr>
          <w:rFonts w:ascii="Times New Roman" w:hAnsi="Times New Roman" w:cs="Times New Roman"/>
          <w:sz w:val="16"/>
          <w:szCs w:val="16"/>
        </w:rPr>
      </w:pPr>
    </w:p>
    <w:p w14:paraId="27969896"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42. Stephens, J., Williamson, K., &amp; Berryhill, M. (2015, Jan). Cognitive Rehabilitation After Traumatic Brain Injury: A Reference for Occupational Therapists. Occupation, Participation and Health (OTJR), 35(1), 5-22. doi: 10.1177/1539449214561765</w:t>
      </w:r>
    </w:p>
    <w:p w14:paraId="5768740E" w14:textId="77777777" w:rsidR="00A351BC" w:rsidRPr="00F87104" w:rsidRDefault="00A351BC">
      <w:pPr>
        <w:ind w:left="360" w:hanging="180"/>
        <w:rPr>
          <w:rFonts w:ascii="Times New Roman" w:hAnsi="Times New Roman" w:cs="Times New Roman"/>
          <w:sz w:val="16"/>
          <w:szCs w:val="16"/>
        </w:rPr>
      </w:pPr>
    </w:p>
    <w:p w14:paraId="5D391473"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43. Teasdale, G., Jennett, B. (1974). Assessment of coma and impaired consciousness. A practical scale. Lancet, 304(7872), 81-84. doi:10.1016/S0140-6736(74)91639-0 McAllister, TW., Saykin, AJ., Flashman, LA., Sparling, MB., Johnson, SC., Guerin, SJ.,</w:t>
      </w:r>
    </w:p>
    <w:p w14:paraId="71D27809" w14:textId="77777777" w:rsidR="00A351BC" w:rsidRPr="00F87104" w:rsidRDefault="00A351BC">
      <w:pPr>
        <w:ind w:left="360" w:hanging="180"/>
        <w:rPr>
          <w:rFonts w:ascii="Times New Roman" w:hAnsi="Times New Roman" w:cs="Times New Roman"/>
          <w:sz w:val="16"/>
          <w:szCs w:val="16"/>
        </w:rPr>
      </w:pPr>
    </w:p>
    <w:p w14:paraId="3253DF91"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44. Mamourian, AC., Weaver, JB., Yanofsky, N. (1999, Oct). Brain activation during working memory 1 month after mild traumatic brain injury: a functional MRI study. Neurology. 53(6). PubMed pmid: 10522888. Doi: org/ 10. 1212/ WNL. 53. 6. 1300</w:t>
      </w:r>
    </w:p>
    <w:p w14:paraId="56B47F89" w14:textId="77777777" w:rsidR="00A351BC" w:rsidRPr="00F87104" w:rsidRDefault="00A351BC">
      <w:pPr>
        <w:ind w:left="360" w:hanging="180"/>
        <w:rPr>
          <w:rFonts w:ascii="Times New Roman" w:hAnsi="Times New Roman" w:cs="Times New Roman"/>
          <w:sz w:val="16"/>
          <w:szCs w:val="16"/>
        </w:rPr>
      </w:pPr>
    </w:p>
    <w:p w14:paraId="658D9E02"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45. Krellman, WL, Krellman, JW, Dijkers, M. (2016, Feb). Can Cognitive Behavioral Therapy for Insomnia also treat fatigue, pain, and mood symptoms in individuals with traumatic brain injury? - A multiple case report. NeuroRehabilitation. 38(1):59-69. doi: 10.3233/NRE-151296</w:t>
      </w:r>
    </w:p>
    <w:p w14:paraId="04F39A82" w14:textId="77777777" w:rsidR="00A351BC" w:rsidRPr="00F87104" w:rsidRDefault="00A351BC">
      <w:pPr>
        <w:ind w:left="360" w:hanging="180"/>
        <w:rPr>
          <w:rFonts w:ascii="Times New Roman" w:hAnsi="Times New Roman" w:cs="Times New Roman"/>
          <w:sz w:val="16"/>
          <w:szCs w:val="16"/>
        </w:rPr>
      </w:pPr>
    </w:p>
    <w:p w14:paraId="107B104C"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46. Walls, A., et al. (2015). "Pediatric Autoimmune Neuropsychiatric Disorder Associated with Streptococcus Immunology: A Pilot Study." Otolaryngol Head Neck Surg 153(1): 130-136.</w:t>
      </w:r>
    </w:p>
    <w:p w14:paraId="5C2CE762" w14:textId="77777777" w:rsidR="00A351BC" w:rsidRPr="00F87104" w:rsidRDefault="00A351BC">
      <w:pPr>
        <w:ind w:left="360" w:hanging="180"/>
        <w:rPr>
          <w:rFonts w:ascii="Times New Roman" w:hAnsi="Times New Roman" w:cs="Times New Roman"/>
          <w:sz w:val="16"/>
          <w:szCs w:val="16"/>
        </w:rPr>
      </w:pPr>
    </w:p>
    <w:p w14:paraId="41B58826"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47. Walls, A., et al. (2016). "Characterization of B-Cells in tonsils of patients diagnosed with pediatric autoimmune neuropsychiatric disorder associated streptococcus." Int J Pediatr Otorhinolaryngol 80: 49-52.</w:t>
      </w:r>
    </w:p>
    <w:p w14:paraId="6C34E2B5" w14:textId="77777777" w:rsidR="00A351BC" w:rsidRPr="00F87104" w:rsidRDefault="00A351BC">
      <w:pPr>
        <w:ind w:left="360" w:hanging="180"/>
        <w:rPr>
          <w:rFonts w:ascii="Times New Roman" w:hAnsi="Times New Roman" w:cs="Times New Roman"/>
          <w:sz w:val="16"/>
          <w:szCs w:val="16"/>
        </w:rPr>
      </w:pPr>
    </w:p>
    <w:p w14:paraId="43EA2FD7"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48. Cox, C. J., et al. (2015). "Antineuronal antibodies in a heterogeneous group of youth and young adults with tics and obsessive-compulsive disorder." J Child Adolesc Psychopharmacol 25(1): 76-85.</w:t>
      </w:r>
    </w:p>
    <w:p w14:paraId="0A3A2F23" w14:textId="77777777" w:rsidR="00A351BC" w:rsidRPr="00F87104" w:rsidRDefault="00A351BC">
      <w:pPr>
        <w:ind w:left="360" w:hanging="180"/>
        <w:rPr>
          <w:rFonts w:ascii="Times New Roman" w:hAnsi="Times New Roman" w:cs="Times New Roman"/>
          <w:sz w:val="16"/>
          <w:szCs w:val="16"/>
        </w:rPr>
      </w:pPr>
    </w:p>
    <w:p w14:paraId="752F17F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49. Gause, C., et al. (2009). "Antineuronal antibodies in OCD: comparisons in children with OCD-only, OCD+chronic tics and OCD+PANDAS." J Neuroimmunol 214(1-2): 118-124.</w:t>
      </w:r>
    </w:p>
    <w:p w14:paraId="2AB87A03" w14:textId="77777777" w:rsidR="00A351BC" w:rsidRPr="00F87104" w:rsidRDefault="00A351BC">
      <w:pPr>
        <w:ind w:left="360" w:hanging="180"/>
        <w:rPr>
          <w:rFonts w:ascii="Times New Roman" w:hAnsi="Times New Roman" w:cs="Times New Roman"/>
          <w:sz w:val="16"/>
          <w:szCs w:val="16"/>
        </w:rPr>
      </w:pPr>
    </w:p>
    <w:p w14:paraId="022D9FFB"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50. Snider, L. A. and S. E. Swedo (2004). "PANDAS: current status and directions for research." Mol Psychiatry 9(10): 900-907.</w:t>
      </w:r>
    </w:p>
    <w:p w14:paraId="2B5F2053" w14:textId="77777777" w:rsidR="00A351BC" w:rsidRPr="00F87104" w:rsidRDefault="00A351BC">
      <w:pPr>
        <w:ind w:left="360" w:hanging="180"/>
        <w:rPr>
          <w:rFonts w:ascii="Times New Roman" w:hAnsi="Times New Roman" w:cs="Times New Roman"/>
          <w:sz w:val="16"/>
          <w:szCs w:val="16"/>
        </w:rPr>
      </w:pPr>
    </w:p>
    <w:p w14:paraId="7B67D636"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51. Helm, C. E. and R. A. Blackwood (2015). "Pediatric Autoimmune Neuropsychiatric Disorder Associated with Streptococcal Infections (PANDAS): Experience at a Tertiary Referral Center." Tremor Other Hyperkinet Mov (N Y) 5: 270.</w:t>
      </w:r>
    </w:p>
    <w:p w14:paraId="5991C017" w14:textId="77777777" w:rsidR="00A351BC" w:rsidRPr="00F87104" w:rsidRDefault="00A351BC">
      <w:pPr>
        <w:ind w:left="360" w:hanging="180"/>
        <w:rPr>
          <w:rFonts w:ascii="Times New Roman" w:hAnsi="Times New Roman" w:cs="Times New Roman"/>
          <w:sz w:val="16"/>
          <w:szCs w:val="16"/>
        </w:rPr>
      </w:pPr>
    </w:p>
    <w:p w14:paraId="4783108A"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52. Macerollo, A. and D. Martino (2013). "Pediatric Autoimmune Neuropsychiatric Disorders Associated with Streptococcal Infections (PANDAS): An Evolving Concept." Tremor Other Hyperkinet Mov (N Y)</w:t>
      </w:r>
    </w:p>
    <w:p w14:paraId="0A1E6457" w14:textId="77777777" w:rsidR="00A351BC" w:rsidRPr="00F87104" w:rsidRDefault="00A351BC">
      <w:pPr>
        <w:ind w:left="360" w:hanging="180"/>
        <w:rPr>
          <w:rFonts w:ascii="Times New Roman" w:hAnsi="Times New Roman" w:cs="Times New Roman"/>
          <w:sz w:val="16"/>
          <w:szCs w:val="16"/>
        </w:rPr>
      </w:pPr>
    </w:p>
    <w:p w14:paraId="4AFC07CA"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53.  Orefici, G., et al. (2016). Pediatric Autoimmune Neuropsychiatric Disorders Associated with Streptococcal Infections (PANDAS). Streptococcus pyogenes: Basic Biology to Clinical Manifestations. J. J. Ferretti, D. L. Stevens and V. A. Fischetti. Oklahoma City (OK), University of Oklahoma Health Sciences Center</w:t>
      </w:r>
    </w:p>
    <w:p w14:paraId="41C3B456" w14:textId="77777777" w:rsidR="00A351BC" w:rsidRPr="00F87104" w:rsidRDefault="00A351BC">
      <w:pPr>
        <w:ind w:left="360" w:hanging="180"/>
        <w:rPr>
          <w:rFonts w:ascii="Times New Roman" w:hAnsi="Times New Roman" w:cs="Times New Roman"/>
          <w:sz w:val="16"/>
          <w:szCs w:val="16"/>
        </w:rPr>
      </w:pPr>
    </w:p>
    <w:p w14:paraId="0BEA2CEC"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lang w:val="fr-FR"/>
        </w:rPr>
        <w:t xml:space="preserve">54. </w:t>
      </w:r>
      <w:hyperlink r:id="rId10">
        <w:r w:rsidRPr="00F87104">
          <w:rPr>
            <w:rFonts w:ascii="Times New Roman" w:hAnsi="Times New Roman" w:cs="Times New Roman"/>
            <w:color w:val="0563C1"/>
            <w:sz w:val="16"/>
            <w:szCs w:val="16"/>
            <w:u w:val="single"/>
            <w:lang w:val="fr-FR"/>
          </w:rPr>
          <w:t>Pest Manag Sci.</w:t>
        </w:r>
      </w:hyperlink>
      <w:r w:rsidRPr="00F87104">
        <w:rPr>
          <w:rFonts w:ascii="Times New Roman" w:hAnsi="Times New Roman" w:cs="Times New Roman"/>
          <w:color w:val="000000"/>
          <w:sz w:val="16"/>
          <w:szCs w:val="16"/>
          <w:lang w:val="fr-FR"/>
        </w:rPr>
        <w:t xml:space="preserve"> 2014 Jul 23. doi: 10.1002/ps.3863. </w:t>
      </w:r>
      <w:r w:rsidRPr="00F87104">
        <w:rPr>
          <w:rFonts w:ascii="Times New Roman" w:hAnsi="Times New Roman" w:cs="Times New Roman"/>
          <w:color w:val="000000"/>
          <w:sz w:val="16"/>
          <w:szCs w:val="16"/>
        </w:rPr>
        <w:t>[Epub ahead of print] Perspectives on Transgenic, Herbicide-Resistant Crops in the USA Almost            20 Years after Introduction.</w:t>
      </w:r>
    </w:p>
    <w:p w14:paraId="31CA1FDE" w14:textId="77777777" w:rsidR="00A351BC" w:rsidRPr="00F87104" w:rsidRDefault="00A351BC">
      <w:pPr>
        <w:ind w:left="180"/>
        <w:rPr>
          <w:rFonts w:ascii="Times New Roman" w:hAnsi="Times New Roman" w:cs="Times New Roman"/>
          <w:sz w:val="16"/>
          <w:szCs w:val="16"/>
        </w:rPr>
      </w:pPr>
    </w:p>
    <w:p w14:paraId="32356217"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APPLIED NUTRITIONAL SCIENCE REPORTS Copyright © 2002 by Advanced Nutrition Publications, Inc. The Role of Detoxification in the Prevention  ofChronic Degenerative Diseases BY DEANN J. LISKA, PH.D</w:t>
      </w:r>
    </w:p>
    <w:p w14:paraId="4500C90C" w14:textId="77777777" w:rsidR="00A351BC" w:rsidRPr="00F87104" w:rsidRDefault="00A351BC">
      <w:pPr>
        <w:pBdr>
          <w:top w:val="nil"/>
          <w:left w:val="nil"/>
          <w:bottom w:val="nil"/>
          <w:right w:val="nil"/>
          <w:between w:val="nil"/>
        </w:pBdr>
        <w:ind w:left="450" w:hanging="270"/>
        <w:rPr>
          <w:rFonts w:ascii="Times New Roman" w:hAnsi="Times New Roman" w:cs="Times New Roman"/>
          <w:color w:val="000000"/>
          <w:sz w:val="16"/>
          <w:szCs w:val="16"/>
        </w:rPr>
      </w:pPr>
    </w:p>
    <w:p w14:paraId="4A2DB025"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 </w:t>
      </w:r>
      <w:hyperlink r:id="rId11">
        <w:r w:rsidRPr="00F87104">
          <w:rPr>
            <w:rFonts w:ascii="Times New Roman" w:hAnsi="Times New Roman" w:cs="Times New Roman"/>
            <w:color w:val="0563C1"/>
            <w:sz w:val="16"/>
            <w:szCs w:val="16"/>
            <w:u w:val="single"/>
            <w:lang w:val="fr-FR"/>
          </w:rPr>
          <w:t>Mol Microbiol.</w:t>
        </w:r>
      </w:hyperlink>
      <w:r w:rsidRPr="00F87104">
        <w:rPr>
          <w:rFonts w:ascii="Times New Roman" w:hAnsi="Times New Roman" w:cs="Times New Roman"/>
          <w:color w:val="000000"/>
          <w:sz w:val="16"/>
          <w:szCs w:val="16"/>
          <w:lang w:val="fr-FR"/>
        </w:rPr>
        <w:t xml:space="preserve"> 2016 Jun;100(6):928-30. doi: 10.1111/mmi.13395. </w:t>
      </w:r>
      <w:r w:rsidRPr="00F87104">
        <w:rPr>
          <w:rFonts w:ascii="Times New Roman" w:hAnsi="Times New Roman" w:cs="Times New Roman"/>
          <w:color w:val="000000"/>
          <w:sz w:val="16"/>
          <w:szCs w:val="16"/>
        </w:rPr>
        <w:t xml:space="preserve">Epub 2016 Apr 29.  A novel pathway of arsenate detoxification., </w:t>
      </w:r>
      <w:hyperlink r:id="rId12">
        <w:r w:rsidRPr="00F87104">
          <w:rPr>
            <w:rFonts w:ascii="Times New Roman" w:hAnsi="Times New Roman" w:cs="Times New Roman"/>
            <w:color w:val="0563C1"/>
            <w:sz w:val="16"/>
            <w:szCs w:val="16"/>
            <w:u w:val="single"/>
          </w:rPr>
          <w:t>Zhao FJ</w:t>
        </w:r>
      </w:hyperlink>
    </w:p>
    <w:p w14:paraId="55CB4CAA" w14:textId="77777777" w:rsidR="00A351BC" w:rsidRPr="00F87104" w:rsidRDefault="00A351BC">
      <w:pPr>
        <w:ind w:left="450" w:hanging="270"/>
        <w:rPr>
          <w:rFonts w:ascii="Times New Roman" w:hAnsi="Times New Roman" w:cs="Times New Roman"/>
          <w:sz w:val="16"/>
          <w:szCs w:val="16"/>
        </w:rPr>
      </w:pPr>
    </w:p>
    <w:p w14:paraId="7348EBB3"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lang w:val="fr-FR"/>
        </w:rPr>
        <w:t xml:space="preserve">Živković, S., Autoimmune Neurologic Disorders. Current Neuropharmacology 2011, 9 (3), 399.Rousset, B.; Bernier-Valentin, F.; Poncet, C.; Orgiazzi, J.; Madec, A. M.; Monier, J. C.; Mornex, R., Anti-tubulin antibodies in autoimmune thyroid disorders. </w:t>
      </w:r>
      <w:r w:rsidRPr="00F87104">
        <w:rPr>
          <w:rFonts w:ascii="Times New Roman" w:hAnsi="Times New Roman" w:cs="Times New Roman"/>
          <w:color w:val="000000"/>
          <w:sz w:val="16"/>
          <w:szCs w:val="16"/>
        </w:rPr>
        <w:t>Clin Exp Immunol 1983, 52 (2), 325-32.</w:t>
      </w:r>
    </w:p>
    <w:p w14:paraId="4F8718FA" w14:textId="77777777" w:rsidR="00A351BC" w:rsidRPr="00F87104" w:rsidRDefault="00A351BC">
      <w:pPr>
        <w:pBdr>
          <w:top w:val="nil"/>
          <w:left w:val="nil"/>
          <w:bottom w:val="nil"/>
          <w:right w:val="nil"/>
          <w:between w:val="nil"/>
        </w:pBdr>
        <w:ind w:left="450" w:hanging="270"/>
        <w:rPr>
          <w:rFonts w:ascii="Times New Roman" w:hAnsi="Times New Roman" w:cs="Times New Roman"/>
          <w:color w:val="000000"/>
          <w:sz w:val="16"/>
          <w:szCs w:val="16"/>
        </w:rPr>
      </w:pPr>
    </w:p>
    <w:p w14:paraId="0CD61ED7"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Hedegaard, C. J.; Chen, N.; Sellebjerg, F.; Sørensen, P. S.; Leslie, R. G. Q.; Bendtzen, K.; Nielsen, C. H., Autoantibodies to myelin basic protein (MBP) in healthy individuals and in patients with multiple sclerosis: a role in regulating cytokine responses to MBP. Immunology 2009, 128 (1 Pt 2), e451-61.</w:t>
      </w:r>
    </w:p>
    <w:p w14:paraId="0D69E6CA" w14:textId="77777777" w:rsidR="00A351BC" w:rsidRPr="00F87104" w:rsidRDefault="00A351BC">
      <w:pPr>
        <w:ind w:left="450" w:hanging="270"/>
        <w:rPr>
          <w:rFonts w:ascii="Times New Roman" w:hAnsi="Times New Roman" w:cs="Times New Roman"/>
          <w:sz w:val="16"/>
          <w:szCs w:val="16"/>
        </w:rPr>
      </w:pPr>
    </w:p>
    <w:p w14:paraId="32C78E3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Nakashima, I., Anti-myelin oligodendrocyte glycoprotein antibody in demyelinating diseases. Clinical and Experimental Neuroimmunology 2015, 6 (S1), 59-63.</w:t>
      </w:r>
    </w:p>
    <w:p w14:paraId="2CA72AEC" w14:textId="77777777" w:rsidR="00A351BC" w:rsidRPr="00F87104" w:rsidRDefault="00A351BC">
      <w:pPr>
        <w:ind w:left="450" w:hanging="270"/>
        <w:rPr>
          <w:rFonts w:ascii="Times New Roman" w:hAnsi="Times New Roman" w:cs="Times New Roman"/>
          <w:sz w:val="16"/>
          <w:szCs w:val="16"/>
        </w:rPr>
      </w:pPr>
    </w:p>
    <w:p w14:paraId="242664E5"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Simons, M., Overexpression of the myelin proteolipid protein leads to accumulation of cholesterol and proteolipid protein in endosomes/lysosomes: implications for Pelizaeus-Merzbacher disease. 2002, 157 (2), 327-36.</w:t>
      </w:r>
    </w:p>
    <w:p w14:paraId="6FF971C4" w14:textId="77777777" w:rsidR="00A351BC" w:rsidRPr="00F87104" w:rsidRDefault="00A351BC">
      <w:pPr>
        <w:ind w:left="450" w:hanging="270"/>
        <w:rPr>
          <w:rFonts w:ascii="Times New Roman" w:hAnsi="Times New Roman" w:cs="Times New Roman"/>
          <w:sz w:val="16"/>
          <w:szCs w:val="16"/>
        </w:rPr>
      </w:pPr>
    </w:p>
    <w:p w14:paraId="4F8E5E78"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lastRenderedPageBreak/>
        <w:t xml:space="preserve">Warren, K. G.; Catz, I., Relative frequency of autoantibodies to myelin basic protein and proteolipid protein in optic neuritis and multiple sclerosis cerebrospinal fluid. J Neurol Sci 1994, 121 (1), 66-73. </w:t>
      </w:r>
    </w:p>
    <w:p w14:paraId="23CAFB96" w14:textId="77777777" w:rsidR="00A351BC" w:rsidRPr="00F87104" w:rsidRDefault="00A351BC">
      <w:pPr>
        <w:ind w:left="450" w:hanging="270"/>
        <w:rPr>
          <w:rFonts w:ascii="Times New Roman" w:hAnsi="Times New Roman" w:cs="Times New Roman"/>
          <w:sz w:val="16"/>
          <w:szCs w:val="16"/>
        </w:rPr>
      </w:pPr>
    </w:p>
    <w:p w14:paraId="3D2262BD"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Sellebjerg, F. T.; Frederiksen, J. L.; Olsson, T., Anti-myelin basic protein and anti-proteolipid protein antibody-secreting cells in the cerebrospinal fluid of patients with acute optic neuritis. Archives of neurology 1994, 51 (10), 1032-6.</w:t>
      </w:r>
    </w:p>
    <w:p w14:paraId="6B32BDCE" w14:textId="77777777" w:rsidR="00A351BC" w:rsidRPr="00F87104" w:rsidRDefault="00A351BC">
      <w:pPr>
        <w:ind w:left="450" w:hanging="270"/>
        <w:rPr>
          <w:rFonts w:ascii="Times New Roman" w:hAnsi="Times New Roman" w:cs="Times New Roman"/>
          <w:sz w:val="16"/>
          <w:szCs w:val="16"/>
        </w:rPr>
      </w:pPr>
    </w:p>
    <w:p w14:paraId="14A87D2D"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Yamasaki, R., Anti-neurofascin antibody in combined central and peripheral demyelination. Clinical and Experimental Neuroimmunology 2013, 4 (s1), 68-75.</w:t>
      </w:r>
    </w:p>
    <w:p w14:paraId="1ED6EC36" w14:textId="77777777" w:rsidR="00A351BC" w:rsidRPr="00F87104" w:rsidRDefault="00A351BC">
      <w:pPr>
        <w:ind w:left="450" w:hanging="270"/>
        <w:rPr>
          <w:rFonts w:ascii="Times New Roman" w:hAnsi="Times New Roman" w:cs="Times New Roman"/>
          <w:sz w:val="16"/>
          <w:szCs w:val="16"/>
        </w:rPr>
      </w:pPr>
    </w:p>
    <w:p w14:paraId="36308452"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Ogata, H.; Yamasaki, R., Anti-neurofascin 155 antibody-related neuropathy. Clinical and Experimental Neuroimmunology 2018, 9 (1), 54-64.</w:t>
      </w:r>
    </w:p>
    <w:p w14:paraId="7E511A2C" w14:textId="77777777" w:rsidR="00A351BC" w:rsidRPr="00F87104" w:rsidRDefault="00A351BC">
      <w:pPr>
        <w:ind w:left="450" w:hanging="270"/>
        <w:rPr>
          <w:rFonts w:ascii="Times New Roman" w:hAnsi="Times New Roman" w:cs="Times New Roman"/>
          <w:sz w:val="16"/>
          <w:szCs w:val="16"/>
        </w:rPr>
      </w:pPr>
    </w:p>
    <w:p w14:paraId="086608C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Mathey, E. K.; Derfuss, T.; Storch, M. K.; Williams, K. R.; Hales, K.; Woolley, D. R.; Al-Hayani, A.; Davies, S. N.; Rasband,M. N.; Olsson, T.; Moldenhauer, A.; Velhin, S.; Hohlfeld, R.; Meinl, E.; Linington, C., Neurofascin as a novel target for autoantibody-mediated axonal injury. The Journal of Experimental Medicine 2007, 204 (10), 2363-2372. </w:t>
      </w:r>
    </w:p>
    <w:p w14:paraId="4D6B0791" w14:textId="77777777" w:rsidR="00A351BC" w:rsidRPr="00F87104" w:rsidRDefault="00A351BC">
      <w:pPr>
        <w:ind w:left="450" w:hanging="270"/>
        <w:rPr>
          <w:rFonts w:ascii="Times New Roman" w:hAnsi="Times New Roman" w:cs="Times New Roman"/>
          <w:sz w:val="16"/>
          <w:szCs w:val="16"/>
        </w:rPr>
      </w:pPr>
    </w:p>
    <w:p w14:paraId="1E0E20A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Kawamura, N.; Yamasaki, R.; Yonekawa, T.; Matsushita, T.; Kusunoki, S.; Nagayama, S.; Fukuda, Y.; Ogata, H.; Matsuse, D.; Murai, H.; Kira, J.-i., Anti-neurofascin antibody in patients with combined central and peripheral demyelination. Neurology 2013, 81 (8), 714-722.</w:t>
      </w:r>
    </w:p>
    <w:p w14:paraId="1F06FAB0" w14:textId="77777777" w:rsidR="00A351BC" w:rsidRPr="00F87104" w:rsidRDefault="00A351BC">
      <w:pPr>
        <w:ind w:left="450" w:hanging="270"/>
        <w:rPr>
          <w:rFonts w:ascii="Times New Roman" w:hAnsi="Times New Roman" w:cs="Times New Roman"/>
          <w:sz w:val="16"/>
          <w:szCs w:val="16"/>
        </w:rPr>
      </w:pPr>
    </w:p>
    <w:p w14:paraId="69CBF3D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Svahn, J.; Petiot, P.; Antoine, J.-C.; Vial, C.; Delmont, E.; Viala, K.; Steck, A. J.; Magot, A.; Cauquil, C.; Zarea, A.; Echaniz-Laguna, A.; Iancu Ferfoglia, R.; Gueguen, A.; Magy, L.; Léger, J.-M.; Kuntzer, T.; Ferraud, K.; Lacour, A.; Camdessanché, J.-P., Anti-MAG antibodies in 202 patients: clinicopathological and therapeutic features. Journal of Neurology, Neurosurgery &amp;amp; Psychiatry 2017.</w:t>
      </w:r>
    </w:p>
    <w:p w14:paraId="5057AC38" w14:textId="77777777" w:rsidR="00A351BC" w:rsidRPr="00F87104" w:rsidRDefault="00A351BC">
      <w:pPr>
        <w:ind w:left="450" w:hanging="270"/>
        <w:rPr>
          <w:rFonts w:ascii="Times New Roman" w:hAnsi="Times New Roman" w:cs="Times New Roman"/>
          <w:sz w:val="16"/>
          <w:szCs w:val="16"/>
        </w:rPr>
      </w:pPr>
    </w:p>
    <w:p w14:paraId="4E76C3F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Bargerstock, E.; Puvenna, V.; Iffland, P.; Falcone, T.; Hossain, M.; Vetter, S.; Man, S.; Dickstein, L.; Marchi, N.; Ghosh, C.; Carvalho-Tavares, J.; Janigro, D., Is peripheral immunity regulated by blood-brain barrier permeability changes? PLoS One 2014, 9 (7), e101477. </w:t>
      </w:r>
    </w:p>
    <w:p w14:paraId="3D49FDCE" w14:textId="77777777" w:rsidR="00A351BC" w:rsidRPr="00F87104" w:rsidRDefault="00A351BC">
      <w:pPr>
        <w:ind w:left="450" w:hanging="270"/>
        <w:rPr>
          <w:rFonts w:ascii="Times New Roman" w:hAnsi="Times New Roman" w:cs="Times New Roman"/>
          <w:sz w:val="16"/>
          <w:szCs w:val="16"/>
        </w:rPr>
      </w:pPr>
    </w:p>
    <w:p w14:paraId="5A9A9E7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Zhang, Z.; Zoltewicz, J. S.; Mondello, S.; Newsom, K. J.; Yang, Z.; Yang, B.; Kobeissy, F.; Guingab, J.; Glushakova, O.; Robicsek, S.; Heaton, S.; Buki, A.; Hannay, J.; Gold, M. S.; Rubenstein, R.; Lu, X. C.; Dave, J. R.; Schmid, K.; Tortella, F.; Robertson, C. S.; Wang, K. K., Human traumatic brain injury induces autoantibody response against glial fibrillary acidic protein and its breakdown products. PLoS One 2014, 9 (3), e92698.</w:t>
      </w:r>
    </w:p>
    <w:p w14:paraId="78BDA114" w14:textId="77777777" w:rsidR="00A351BC" w:rsidRPr="00F87104" w:rsidRDefault="00A351BC">
      <w:pPr>
        <w:ind w:left="450" w:hanging="270"/>
        <w:rPr>
          <w:rFonts w:ascii="Times New Roman" w:hAnsi="Times New Roman" w:cs="Times New Roman"/>
          <w:sz w:val="16"/>
          <w:szCs w:val="16"/>
        </w:rPr>
      </w:pPr>
    </w:p>
    <w:p w14:paraId="1DD96D69"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Lemke, M. R.; Glatzel, M.; Henneberg, A. E., Antimicroglia antibodies in sera of Alzheimer's disease patients. Biol Psychiatry 1999, 45 (4), 508-11.</w:t>
      </w:r>
    </w:p>
    <w:p w14:paraId="39471369" w14:textId="77777777" w:rsidR="00A351BC" w:rsidRPr="00F87104" w:rsidRDefault="00A351BC">
      <w:pPr>
        <w:ind w:left="450" w:hanging="270"/>
        <w:rPr>
          <w:rFonts w:ascii="Times New Roman" w:hAnsi="Times New Roman" w:cs="Times New Roman"/>
          <w:sz w:val="16"/>
          <w:szCs w:val="16"/>
        </w:rPr>
      </w:pPr>
    </w:p>
    <w:p w14:paraId="76C07AC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Shimizu, F.; Schaller, K. L.; Owens, G. P.; Cotleur, A. C.; Kellner, D.; Takeshita, Y.; Obermeier, B.; Kryzer, T. J.; Sano, Y.;</w:t>
      </w:r>
    </w:p>
    <w:p w14:paraId="513444F8" w14:textId="77777777" w:rsidR="00A351BC" w:rsidRPr="00F87104" w:rsidRDefault="00A351BC">
      <w:pPr>
        <w:ind w:left="450" w:hanging="270"/>
        <w:rPr>
          <w:rFonts w:ascii="Times New Roman" w:hAnsi="Times New Roman" w:cs="Times New Roman"/>
          <w:sz w:val="16"/>
          <w:szCs w:val="16"/>
        </w:rPr>
      </w:pPr>
    </w:p>
    <w:p w14:paraId="5D46BBFA"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Kanda, T.; Lennon, V. A.; Ransohoff, R. M.; Bennett, J. L., Glucose-regulated protein 78 autoantibody associates with blood-brain barrier disruption in neuromyelitis optica. Science Translational Medicine 2017, 9 (397).</w:t>
      </w:r>
    </w:p>
    <w:p w14:paraId="7DA65682" w14:textId="77777777" w:rsidR="00A351BC" w:rsidRPr="00F87104" w:rsidRDefault="00A351BC">
      <w:pPr>
        <w:ind w:left="450" w:hanging="270"/>
        <w:rPr>
          <w:rFonts w:ascii="Times New Roman" w:hAnsi="Times New Roman" w:cs="Times New Roman"/>
          <w:sz w:val="16"/>
          <w:szCs w:val="16"/>
        </w:rPr>
      </w:pPr>
    </w:p>
    <w:p w14:paraId="7151C09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Vaishnav, R. A.; Liu, R.; Chapman, J.; Roberts, A. M.; Ye, H.; Rebolledo-Mendez, J. D.; Tabira, T.; Fitzpatrick, A. H.; Achiron, A.; Running, M. P.; Friedland, R. P., Aquaporin 4 Molecular Mimicry and Implications for Neuromyelitis Optica. J Neuroimmunol 2013, 260 (0), 92-8. </w:t>
      </w:r>
    </w:p>
    <w:p w14:paraId="6857764A" w14:textId="77777777" w:rsidR="00A351BC" w:rsidRPr="00F87104" w:rsidRDefault="00A351BC">
      <w:pPr>
        <w:ind w:left="450" w:hanging="270"/>
        <w:rPr>
          <w:rFonts w:ascii="Times New Roman" w:hAnsi="Times New Roman" w:cs="Times New Roman"/>
          <w:sz w:val="16"/>
          <w:szCs w:val="16"/>
        </w:rPr>
      </w:pPr>
    </w:p>
    <w:p w14:paraId="7E61EFB0"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Antoine, J.-C.; Honnorat, J.; Camdessanché, J.-P.; Magistris, M.; Absi, L.; Mosnier, J.-F.; Petiot, P.; Kopp, N.; Michel, D., Paraneoplastic anti-CV2 antibodies react with peripheral nerve and are associated with a mixed axonal and demyelinating peripheral neuropathy. Annals of Neurology 2001, 49 (2), 214-221. </w:t>
      </w:r>
    </w:p>
    <w:p w14:paraId="0E3527FB" w14:textId="77777777" w:rsidR="00A351BC" w:rsidRPr="00F87104" w:rsidRDefault="00A351BC">
      <w:pPr>
        <w:ind w:left="450" w:hanging="270"/>
        <w:rPr>
          <w:rFonts w:ascii="Times New Roman" w:hAnsi="Times New Roman" w:cs="Times New Roman"/>
          <w:sz w:val="16"/>
          <w:szCs w:val="16"/>
        </w:rPr>
      </w:pPr>
    </w:p>
    <w:p w14:paraId="284B712C"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Yang, Y.; Shum, H.; Haigentz, M.; Mariuma, E.; Suhrland, M.; Maleki, S.; Acevedo, N.; Gulko, E.; Farinhas, J.; Welch, M., Anti-Ri antibody associated paraneoplastic brainstem and cerebellar dysfunction as the presenting sign of small cell lung carcinoma (P4.237). Neurology 2015, 84 (14 Supplement).</w:t>
      </w:r>
    </w:p>
    <w:p w14:paraId="7141662B" w14:textId="77777777" w:rsidR="00A351BC" w:rsidRPr="00F87104" w:rsidRDefault="00A351BC">
      <w:pPr>
        <w:ind w:left="450" w:hanging="270"/>
        <w:rPr>
          <w:rFonts w:ascii="Times New Roman" w:hAnsi="Times New Roman" w:cs="Times New Roman"/>
          <w:sz w:val="16"/>
          <w:szCs w:val="16"/>
        </w:rPr>
      </w:pPr>
    </w:p>
    <w:p w14:paraId="74F980DF"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Lee, J. J.; Koh, K. M.; Kim, U. S., The Anti-Acetylcholine Receptor Antibody Test in Suspected Ocular Myasthenia Gravis. Journal of Ophthalmology 2014, 2014, 4.</w:t>
      </w:r>
    </w:p>
    <w:p w14:paraId="22D1D197" w14:textId="77777777" w:rsidR="00A351BC" w:rsidRPr="00F87104" w:rsidRDefault="00A351BC">
      <w:pPr>
        <w:ind w:left="450" w:hanging="270"/>
        <w:rPr>
          <w:rFonts w:ascii="Times New Roman" w:hAnsi="Times New Roman" w:cs="Times New Roman"/>
          <w:sz w:val="16"/>
          <w:szCs w:val="16"/>
        </w:rPr>
      </w:pPr>
    </w:p>
    <w:p w14:paraId="66625AF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Koneczny, I.; Cossins, J.; Vincent, A., The role of muscle-specific tyrosine kinase (MuSK) and mystery of MuSK myasthenia gravis. Journal of Anatomy 2014, 224 (1), 29-35.</w:t>
      </w:r>
    </w:p>
    <w:p w14:paraId="66483F52" w14:textId="77777777" w:rsidR="00A351BC" w:rsidRPr="00F87104" w:rsidRDefault="00A351BC">
      <w:pPr>
        <w:ind w:left="450" w:hanging="270"/>
        <w:rPr>
          <w:rFonts w:ascii="Times New Roman" w:hAnsi="Times New Roman" w:cs="Times New Roman"/>
          <w:sz w:val="16"/>
          <w:szCs w:val="16"/>
        </w:rPr>
      </w:pPr>
    </w:p>
    <w:p w14:paraId="7CB21037"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Hill, M., The neuromuscular junction disorders. Journal of Neurology, Neurosurgery &amp;amp; Psychiatry 2003, 74 (suppl 2), ii32-ii37.</w:t>
      </w:r>
    </w:p>
    <w:p w14:paraId="56250F9B" w14:textId="77777777" w:rsidR="00A351BC" w:rsidRPr="00F87104" w:rsidRDefault="00A351BC">
      <w:pPr>
        <w:ind w:left="450" w:hanging="270"/>
        <w:rPr>
          <w:rFonts w:ascii="Times New Roman" w:hAnsi="Times New Roman" w:cs="Times New Roman"/>
          <w:sz w:val="16"/>
          <w:szCs w:val="16"/>
        </w:rPr>
      </w:pPr>
    </w:p>
    <w:p w14:paraId="66D49070"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Meriggioli, M. N.; Sanders, D. B., Muscle autoantibodies in myasthenia gravis: beyond diagnosis? Expert Rev Clin Immunol 2012, 8 (5), 427-38.</w:t>
      </w:r>
    </w:p>
    <w:p w14:paraId="03B5FE72" w14:textId="77777777" w:rsidR="00A351BC" w:rsidRPr="00F87104" w:rsidRDefault="00A351BC">
      <w:pPr>
        <w:ind w:left="450" w:hanging="270"/>
        <w:rPr>
          <w:rFonts w:ascii="Times New Roman" w:hAnsi="Times New Roman" w:cs="Times New Roman"/>
          <w:sz w:val="16"/>
          <w:szCs w:val="16"/>
        </w:rPr>
      </w:pPr>
    </w:p>
    <w:p w14:paraId="77EF0226" w14:textId="77777777" w:rsidR="00A351BC" w:rsidRPr="00F87104" w:rsidRDefault="00A351BC">
      <w:pPr>
        <w:ind w:left="450" w:hanging="270"/>
        <w:rPr>
          <w:rFonts w:ascii="Times New Roman" w:hAnsi="Times New Roman" w:cs="Times New Roman"/>
          <w:sz w:val="16"/>
          <w:szCs w:val="16"/>
        </w:rPr>
      </w:pPr>
    </w:p>
    <w:p w14:paraId="2732687D"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Hadjivassiliou, M.; Boscolo, S.; Tongiorgi, E.; Grunewald, R. A.; Sharrack, B.; Sanders, D. S.; Woodroofe, N.; Davies-Jones, G. A., Cerebellar ataxia as a possible organ-specific autoimmune disease. Mov Disord 2008, 23 (10), 1370-7.</w:t>
      </w:r>
    </w:p>
    <w:p w14:paraId="53DF407A" w14:textId="77777777" w:rsidR="00A351BC" w:rsidRPr="00F87104" w:rsidRDefault="00A351BC">
      <w:pPr>
        <w:ind w:left="450" w:hanging="270"/>
        <w:rPr>
          <w:rFonts w:ascii="Times New Roman" w:hAnsi="Times New Roman" w:cs="Times New Roman"/>
          <w:sz w:val="16"/>
          <w:szCs w:val="16"/>
        </w:rPr>
      </w:pPr>
    </w:p>
    <w:p w14:paraId="36B96395"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Goines, P., Autoantibodies to cerebellum in children with autism associate with behavior. 2011, 25 (3), 514-23.</w:t>
      </w:r>
    </w:p>
    <w:p w14:paraId="012E2E1D" w14:textId="77777777" w:rsidR="00A351BC" w:rsidRPr="00F87104" w:rsidRDefault="00A351BC">
      <w:pPr>
        <w:ind w:left="450" w:hanging="270"/>
        <w:rPr>
          <w:rFonts w:ascii="Times New Roman" w:hAnsi="Times New Roman" w:cs="Times New Roman"/>
          <w:sz w:val="16"/>
          <w:szCs w:val="16"/>
        </w:rPr>
      </w:pPr>
    </w:p>
    <w:p w14:paraId="63ABBFFC"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Venkatraman, A.; Opal, P., Paraneoplastic cerebellar degeneration with antiYo antibodies – a review. Ann Clin Transl Neurol 2016, 3 (8), 655-63.</w:t>
      </w:r>
    </w:p>
    <w:p w14:paraId="4EF12241" w14:textId="77777777" w:rsidR="00A351BC" w:rsidRPr="00F87104" w:rsidRDefault="00A351BC">
      <w:pPr>
        <w:ind w:left="450" w:hanging="270"/>
        <w:rPr>
          <w:rFonts w:ascii="Times New Roman" w:hAnsi="Times New Roman" w:cs="Times New Roman"/>
          <w:sz w:val="16"/>
          <w:szCs w:val="16"/>
        </w:rPr>
      </w:pPr>
    </w:p>
    <w:p w14:paraId="13BBF8A6"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Rygiel, K., Novel strategies for Alzheimer's disease treatment: An overview of anti-amyloid beta monoclonal antibodies. Indian Journal of Pharmacology 2016, 48 (6), 629-36.</w:t>
      </w:r>
    </w:p>
    <w:p w14:paraId="2D3EB466" w14:textId="77777777" w:rsidR="00A351BC" w:rsidRPr="00F87104" w:rsidRDefault="00A351BC">
      <w:pPr>
        <w:ind w:left="450" w:hanging="270"/>
        <w:rPr>
          <w:rFonts w:ascii="Times New Roman" w:hAnsi="Times New Roman" w:cs="Times New Roman"/>
          <w:sz w:val="16"/>
          <w:szCs w:val="16"/>
        </w:rPr>
      </w:pPr>
    </w:p>
    <w:p w14:paraId="599B7A7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Wu, J.; Li, L., Autoantibodies in Alzheimer’s disease: potential biomarkers, pathogenic roles, and therapeutic implications. Journal of Biomedical Research 2016, 30 (5), 361-72.</w:t>
      </w:r>
    </w:p>
    <w:p w14:paraId="3CB5A655" w14:textId="77777777" w:rsidR="00A351BC" w:rsidRPr="00F87104" w:rsidRDefault="00A351BC">
      <w:pPr>
        <w:ind w:left="450" w:hanging="270"/>
        <w:rPr>
          <w:rFonts w:ascii="Times New Roman" w:hAnsi="Times New Roman" w:cs="Times New Roman"/>
          <w:sz w:val="16"/>
          <w:szCs w:val="16"/>
        </w:rPr>
      </w:pPr>
    </w:p>
    <w:p w14:paraId="1FBADDD4"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Levite, M., Glutamate receptor antibodies in neurological diseases:Journal of Neural Transmission 2014, 121 (8), 1029-1075.</w:t>
      </w:r>
    </w:p>
    <w:p w14:paraId="5EDCC469" w14:textId="77777777" w:rsidR="00A351BC" w:rsidRPr="00F87104" w:rsidRDefault="00A351BC">
      <w:pPr>
        <w:ind w:left="450" w:hanging="270"/>
        <w:rPr>
          <w:rFonts w:ascii="Times New Roman" w:hAnsi="Times New Roman" w:cs="Times New Roman"/>
          <w:sz w:val="16"/>
          <w:szCs w:val="16"/>
        </w:rPr>
      </w:pPr>
    </w:p>
    <w:p w14:paraId="5667EB67"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Dale, R. C.; Merheb, V.; Pillai, S.; Wang, D.; Cantrill, L.; Murphy, T. K.; Ben-Pazi, H.; Varadkar, S.; Aumann, T. D.; Horne, M. K.; Church, A. J.; Fath, T.; Brilot, F., Antibodies to surface dopamine-2 receptor in autoimmune movement and psychiatric disorders. Brain 2012, 135 (Pt 11), 3453-68.</w:t>
      </w:r>
    </w:p>
    <w:p w14:paraId="6BBEA089" w14:textId="77777777" w:rsidR="00A351BC" w:rsidRPr="00F87104" w:rsidRDefault="00A351BC">
      <w:pPr>
        <w:ind w:left="450" w:hanging="270"/>
        <w:rPr>
          <w:rFonts w:ascii="Times New Roman" w:hAnsi="Times New Roman" w:cs="Times New Roman"/>
          <w:sz w:val="16"/>
          <w:szCs w:val="16"/>
        </w:rPr>
      </w:pPr>
    </w:p>
    <w:p w14:paraId="0B21AAF9"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lastRenderedPageBreak/>
        <w:t>Platt, M. P.; Agalliu, D.; Cutforth, T., Hello from the Other Side: How Autoantibodies Circumvent the Blood–Brain Barrier in Autoimmune Encephalitis. Front Immunol 2017, 8.</w:t>
      </w:r>
    </w:p>
    <w:p w14:paraId="25A8C808" w14:textId="77777777" w:rsidR="00A351BC" w:rsidRPr="00F87104" w:rsidRDefault="00A351BC">
      <w:pPr>
        <w:ind w:left="450" w:hanging="270"/>
        <w:rPr>
          <w:rFonts w:ascii="Times New Roman" w:hAnsi="Times New Roman" w:cs="Times New Roman"/>
          <w:sz w:val="16"/>
          <w:szCs w:val="16"/>
        </w:rPr>
      </w:pPr>
    </w:p>
    <w:p w14:paraId="570EAFE0"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Brudek, T.; Winge, K.; Folke, J.; Christensen, S.; Fog, K.; Pakkenberg, B.; Pedersen, L. Ø., Autoimmune antibody decline in Parkinson’s disease and Multiple System Atrophy; a step towards immunotherapeutic strategies. Molecular Neurodegeneration 2017, 12 (1), 44.</w:t>
      </w:r>
    </w:p>
    <w:p w14:paraId="697DFD76" w14:textId="77777777" w:rsidR="00A351BC" w:rsidRPr="00F87104" w:rsidRDefault="00A351BC">
      <w:pPr>
        <w:ind w:left="450" w:hanging="270"/>
        <w:rPr>
          <w:rFonts w:ascii="Times New Roman" w:hAnsi="Times New Roman" w:cs="Times New Roman"/>
          <w:sz w:val="16"/>
          <w:szCs w:val="16"/>
        </w:rPr>
      </w:pPr>
    </w:p>
    <w:p w14:paraId="217196F3"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Wallukat, G.; Pruss, H.; Muller, J.; Schimke, I., Correction: Functional autoantibodies in patients with different forms of dementia. PLoS One 2018, 13 (8), e0203253. </w:t>
      </w:r>
    </w:p>
    <w:p w14:paraId="1DB89E27" w14:textId="77777777" w:rsidR="00A351BC" w:rsidRPr="00F87104" w:rsidRDefault="00A351BC">
      <w:pPr>
        <w:ind w:left="450" w:hanging="270"/>
        <w:rPr>
          <w:rFonts w:ascii="Times New Roman" w:hAnsi="Times New Roman" w:cs="Times New Roman"/>
          <w:sz w:val="16"/>
          <w:szCs w:val="16"/>
        </w:rPr>
      </w:pPr>
    </w:p>
    <w:p w14:paraId="4E9808A5"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Singh, M.; Prakash, A., Possible role of endothelin receptor against hyperhomocysteinemia and beta-amyloid induced AD type of vascular dementia in rats. Brain research bulletin 2017, 133, 31-41. Kayser, M. S.; Dalmau, J., Anti-NMDA Receptor Encephalitis in Psychiatry. Current psychiatry reviews 2011, 7 (3), 189-93.</w:t>
      </w:r>
    </w:p>
    <w:p w14:paraId="399090E9" w14:textId="77777777" w:rsidR="00A351BC" w:rsidRPr="00F87104" w:rsidRDefault="00A351BC">
      <w:pPr>
        <w:ind w:left="450" w:hanging="270"/>
        <w:rPr>
          <w:rFonts w:ascii="Times New Roman" w:hAnsi="Times New Roman" w:cs="Times New Roman"/>
          <w:sz w:val="16"/>
          <w:szCs w:val="16"/>
        </w:rPr>
      </w:pPr>
    </w:p>
    <w:p w14:paraId="7A1414DB"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Husebye, E. S.; Sthoeger, Z. M.; Dayan, M.; Zinger, H.; Elbirt, D.; Levite, M.; Mozes, E., Autoantibodies to a NR2A peptide of the glutamate/NMDA receptor in sera of patients with systemic lupus erythematosus. Annals of the Rheumatic Diseases 2005, 64 (8), 1210-1213. </w:t>
      </w:r>
    </w:p>
    <w:p w14:paraId="6F710A12" w14:textId="77777777" w:rsidR="00A351BC" w:rsidRPr="00F87104" w:rsidRDefault="00A351BC">
      <w:pPr>
        <w:ind w:left="450" w:hanging="270"/>
        <w:rPr>
          <w:rFonts w:ascii="Times New Roman" w:hAnsi="Times New Roman" w:cs="Times New Roman"/>
          <w:sz w:val="16"/>
          <w:szCs w:val="16"/>
        </w:rPr>
      </w:pPr>
    </w:p>
    <w:p w14:paraId="5E9C3FC3"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Chang, P. K.; Verbich, D.; McKinney, R. A., AMPA receptors as drug targets in neurological disease--advantages, caveats, and future outlook. The European journal of neuroscience 2012, 35 (12), 1908-16. Ben-Pazi, H.; Stoner, J. A.; Cunningham, M. W., Dopamine receptor autoantibodies correlate with symptoms in Sydenham's chorea. PLoS One 2013, 8 (9), e73516. </w:t>
      </w:r>
    </w:p>
    <w:p w14:paraId="2B46F2FC" w14:textId="77777777" w:rsidR="00A351BC" w:rsidRPr="00F87104" w:rsidRDefault="00A351BC">
      <w:pPr>
        <w:ind w:left="450" w:hanging="270"/>
        <w:rPr>
          <w:rFonts w:ascii="Times New Roman" w:hAnsi="Times New Roman" w:cs="Times New Roman"/>
          <w:sz w:val="16"/>
          <w:szCs w:val="16"/>
        </w:rPr>
      </w:pPr>
    </w:p>
    <w:p w14:paraId="5BE46A8A"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Kleppner, S. R.; Tobin, A. J., GABA signalling: therapeutic targets for epilepsy, Parkinson's disease and Huntington's disease. Expert opinion on therapeutic targets 2001, 5 (2), 219-39. </w:t>
      </w:r>
    </w:p>
    <w:p w14:paraId="64D8046D" w14:textId="77777777" w:rsidR="00A351BC" w:rsidRPr="00F87104" w:rsidRDefault="00A351BC">
      <w:pPr>
        <w:ind w:left="450" w:hanging="270"/>
        <w:rPr>
          <w:rFonts w:ascii="Times New Roman" w:hAnsi="Times New Roman" w:cs="Times New Roman"/>
          <w:sz w:val="16"/>
          <w:szCs w:val="16"/>
        </w:rPr>
      </w:pPr>
    </w:p>
    <w:p w14:paraId="4E2EB0B3"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Boronat, A.; Gelfand, J. M.; Gresa-Arribas, N.; Jeong, H. Y.; Walsh, M.; Roberts, K.; Martinez-Hernandez, E.; Rosenfeld, M. R.; Balice-Gordon, R.; Graus, F.; Rudy, B.; Dalmau, J., Encephalitis and antibodies to DPPX, a subunit of Kv4.2 potassium channels. Ann Neurol 2013, 73 (1), 120-8.</w:t>
      </w:r>
    </w:p>
    <w:p w14:paraId="703D9A77" w14:textId="77777777" w:rsidR="00A351BC" w:rsidRPr="00F87104" w:rsidRDefault="00A351BC">
      <w:pPr>
        <w:ind w:left="450" w:hanging="270"/>
        <w:rPr>
          <w:rFonts w:ascii="Times New Roman" w:hAnsi="Times New Roman" w:cs="Times New Roman"/>
          <w:sz w:val="16"/>
          <w:szCs w:val="16"/>
        </w:rPr>
      </w:pPr>
    </w:p>
    <w:p w14:paraId="065BC676"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Carvajal-González, A.; Leite, M. I.; Waters, P.; Woodhall, M.; Coutinho, E.; Balint, B.; Lang, B.; Pettingill, P.; Carr, A.;Sheerin, U. M.; Press, R.; Lunn, M. P.; Lim, M.; Maddison, P.; Meinck, H.; Vandenberghe, W.; Vincent, A., Glycine receptor antibodies in PERM and related syndromes: characteristics, clinical features and outcomes. Brain 2014, 137 (8), 2178-92. </w:t>
      </w:r>
    </w:p>
    <w:p w14:paraId="09D960D5" w14:textId="77777777" w:rsidR="00A351BC" w:rsidRPr="00F87104" w:rsidRDefault="00A351BC">
      <w:pPr>
        <w:ind w:left="450" w:hanging="270"/>
        <w:rPr>
          <w:rFonts w:ascii="Times New Roman" w:hAnsi="Times New Roman" w:cs="Times New Roman"/>
          <w:sz w:val="16"/>
          <w:szCs w:val="16"/>
        </w:rPr>
      </w:pPr>
    </w:p>
    <w:p w14:paraId="73647530"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Gresa-Arribas, N.; Planaguma, J.; Petit-Pedrol, M.; Kawachi, I.; Katada, S.; Glaser, C. A.; Simabukuro, M. M.; Armangue, T.; Martinez-Hernandez, E.; Graus, F.; Dalmau, J., Human neurexin-3alpha antibodies associate with encephalitis and alter synapse development. Neurology 2016, 86 (24), 2235-42.</w:t>
      </w:r>
    </w:p>
    <w:p w14:paraId="6FF099E9" w14:textId="77777777" w:rsidR="00A351BC" w:rsidRPr="00F87104" w:rsidRDefault="00A351BC">
      <w:pPr>
        <w:ind w:left="450" w:hanging="270"/>
        <w:rPr>
          <w:rFonts w:ascii="Times New Roman" w:hAnsi="Times New Roman" w:cs="Times New Roman"/>
          <w:sz w:val="16"/>
          <w:szCs w:val="16"/>
        </w:rPr>
      </w:pPr>
    </w:p>
    <w:p w14:paraId="7C4D7A00"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Joubert, B.; Saint-Martin, M.; Noraz, N.; Picard, G.; Rogemond, V.; Ducray, F.; Desestret, V.; Psimaras, D.; Delattre, J. Y.; Antoine, J. C.; Honnorat, J., Characterization of a Subtype of Autoimmune Encephalitis With Anti-Contactin-Associated Protein-like 2 Antibodies in the Cerebrospinal Fluid, Prominent Limbic Symptoms, and Seizures. JAMA neurology 2016, 73 (9), 1115-24.</w:t>
      </w:r>
    </w:p>
    <w:p w14:paraId="434E43AB" w14:textId="77777777" w:rsidR="00A351BC" w:rsidRPr="00F87104" w:rsidRDefault="00A351BC">
      <w:pPr>
        <w:ind w:left="450" w:hanging="270"/>
        <w:rPr>
          <w:rFonts w:ascii="Times New Roman" w:hAnsi="Times New Roman" w:cs="Times New Roman"/>
          <w:sz w:val="16"/>
          <w:szCs w:val="16"/>
        </w:rPr>
      </w:pPr>
    </w:p>
    <w:p w14:paraId="2C86BFBA"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Mayasi, Y.; Takhtani, D.; Garg, N., Leucine-rich glioma-inactivated protein 1 antibody encephalitis: A case report. Neurology® Neuroimmunology &amp; Neuroinflammation 2014, 1 (4).</w:t>
      </w:r>
    </w:p>
    <w:p w14:paraId="48761CC9" w14:textId="77777777" w:rsidR="00A351BC" w:rsidRPr="00F87104" w:rsidRDefault="00A351BC">
      <w:pPr>
        <w:ind w:left="450" w:hanging="270"/>
        <w:rPr>
          <w:rFonts w:ascii="Times New Roman" w:hAnsi="Times New Roman" w:cs="Times New Roman"/>
          <w:sz w:val="16"/>
          <w:szCs w:val="16"/>
        </w:rPr>
      </w:pPr>
    </w:p>
    <w:p w14:paraId="763B192B" w14:textId="77777777" w:rsidR="00A351BC" w:rsidRPr="00F87104" w:rsidRDefault="00A351BC">
      <w:pPr>
        <w:ind w:left="450" w:hanging="270"/>
        <w:rPr>
          <w:rFonts w:ascii="Times New Roman" w:hAnsi="Times New Roman" w:cs="Times New Roman"/>
          <w:sz w:val="16"/>
          <w:szCs w:val="16"/>
        </w:rPr>
      </w:pPr>
    </w:p>
    <w:p w14:paraId="544171C5" w14:textId="77777777" w:rsidR="00A351BC" w:rsidRPr="00F87104" w:rsidRDefault="00A351BC">
      <w:pPr>
        <w:ind w:left="450" w:hanging="270"/>
        <w:rPr>
          <w:rFonts w:ascii="Times New Roman" w:hAnsi="Times New Roman" w:cs="Times New Roman"/>
          <w:sz w:val="16"/>
          <w:szCs w:val="16"/>
        </w:rPr>
      </w:pPr>
    </w:p>
    <w:p w14:paraId="6DB662D0" w14:textId="77777777" w:rsidR="00A351BC" w:rsidRPr="00F87104" w:rsidRDefault="00032BAA">
      <w:pPr>
        <w:numPr>
          <w:ilvl w:val="0"/>
          <w:numId w:val="16"/>
        </w:numPr>
        <w:pBdr>
          <w:top w:val="nil"/>
          <w:left w:val="nil"/>
          <w:bottom w:val="nil"/>
          <w:right w:val="nil"/>
          <w:between w:val="nil"/>
        </w:pBdr>
        <w:rPr>
          <w:rFonts w:ascii="Times New Roman" w:hAnsi="Times New Roman" w:cs="Times New Roman"/>
          <w:color w:val="000000"/>
          <w:sz w:val="16"/>
          <w:szCs w:val="16"/>
        </w:rPr>
      </w:pPr>
      <w:r w:rsidRPr="00F87104">
        <w:rPr>
          <w:rFonts w:ascii="Times New Roman" w:hAnsi="Times New Roman" w:cs="Times New Roman"/>
          <w:color w:val="000000"/>
          <w:sz w:val="16"/>
          <w:szCs w:val="16"/>
        </w:rPr>
        <w:t>György, B.; Breakefield, X. O.; Tanzi, R. E.; Moir, R. D., Alzheimer’s Disease-Associated -Amyloid Is Rapidly Seeded by Herpesviridae to Protect against Brain Infection. Neuron 2018, 99 (1), 56-63.e3.</w:t>
      </w:r>
    </w:p>
    <w:p w14:paraId="08F9B403" w14:textId="77777777" w:rsidR="00A351BC" w:rsidRPr="00F87104" w:rsidRDefault="00A351BC">
      <w:pPr>
        <w:rPr>
          <w:rFonts w:ascii="Times New Roman" w:hAnsi="Times New Roman" w:cs="Times New Roman"/>
          <w:sz w:val="16"/>
          <w:szCs w:val="16"/>
        </w:rPr>
      </w:pPr>
    </w:p>
    <w:p w14:paraId="6E7B80AC" w14:textId="77777777" w:rsidR="00A351BC" w:rsidRPr="00F87104" w:rsidRDefault="00032BAA">
      <w:pPr>
        <w:numPr>
          <w:ilvl w:val="0"/>
          <w:numId w:val="16"/>
        </w:numPr>
        <w:pBdr>
          <w:top w:val="nil"/>
          <w:left w:val="nil"/>
          <w:bottom w:val="nil"/>
          <w:right w:val="nil"/>
          <w:between w:val="nil"/>
        </w:pBdr>
        <w:tabs>
          <w:tab w:val="left" w:pos="720"/>
          <w:tab w:val="left" w:pos="810"/>
          <w:tab w:val="left" w:pos="990"/>
          <w:tab w:val="left" w:pos="1080"/>
          <w:tab w:val="left" w:pos="1170"/>
          <w:tab w:val="left" w:pos="1260"/>
          <w:tab w:val="left" w:pos="144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Ortega Suero, G.; Sola-Valls, N.; Escudero, D.; Saiz, A.; Graus, F., Anti-Ma and anti-Ma2-associated paraneoplastic neurological syndromes.       Neurologia (Barcelona, Spain) 2018, 33 (1), 18-27.</w:t>
      </w:r>
    </w:p>
    <w:p w14:paraId="13043F6C" w14:textId="77777777" w:rsidR="00A351BC" w:rsidRPr="00F87104" w:rsidRDefault="00A351BC">
      <w:pPr>
        <w:ind w:left="450" w:hanging="270"/>
        <w:rPr>
          <w:rFonts w:ascii="Times New Roman" w:hAnsi="Times New Roman" w:cs="Times New Roman"/>
          <w:sz w:val="16"/>
          <w:szCs w:val="16"/>
        </w:rPr>
      </w:pPr>
    </w:p>
    <w:p w14:paraId="2501CC4E"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Eimer, W. A.; Vijaya Kumar, D. K.; Shanmugam, N. K. N.; Rodriguez, A. S.; Mitchell, T.; Washicosky, K. J.; György, B.; Breakefield, X. O.; Tanzi, R. E.; Moir, R. D., Alzheimer’s Disease-Associated -Amyloid Is Rapidly Seeded by Herpesviridae to Protect against Brain Infection. Neuron 2018, 99 (1), 56-63.e3. </w:t>
      </w:r>
    </w:p>
    <w:p w14:paraId="51079D68"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2C2E8D27"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Berger, J. R.; Houff, S., Neurological complications of herpes simplex virus type 2 infection. Archives of neurology 2008, 65 (5), 596-600.</w:t>
      </w:r>
    </w:p>
    <w:p w14:paraId="10E9DA00"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765CFAC1"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Martelius, T.; Lappalainen, M.; Palomäki, M.; Anttila, V.-J., Clinical characteristics of patients with Epstein Barr virus in cerebrospinal fluid. BMC Infectious Diseases 2011, 11 (1), 281. </w:t>
      </w:r>
    </w:p>
    <w:p w14:paraId="680CA643"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485344C3"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Munger, K. L.; Levin, L. I.; O’Reilly, E. J.; Falk, K. I.; Ascherio, A., Anti-Epstein-Barr virus antibodies as serological markers of multiple sclerosis: a prospective study among United States military personnel. Multiple sclerosis (Houndmills, Basingstoke, England) 2011, 17 (10), 1185-93. </w:t>
      </w:r>
    </w:p>
    <w:p w14:paraId="3D81C04F"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35BB7DE0"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Ang, C. W.; Jacobs, B. C.; Brandenburg, A. H.; Laman, J. D.; van der Meché, F. G. A.; Osterhaus, A. D. M. E.; van Doorn, P. A., Cross-reactive antibodies against GM2 and CMV-infected fibroblasts in Guillain–Barré syndrome. Neurology 2000, 54 (7), 1453-1458. </w:t>
      </w:r>
    </w:p>
    <w:p w14:paraId="74D8D8C8"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3E016BC4"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Khalili-Shirazi, A.; Gregson, N.; Gray, I.; Rees, J.; Winer, J.; Hughes, R., Antiganglioside antibodies in Guillain-Barré syndrome after a recent cytomegalovirus infection. Journal of Neurology, Neurosurgery &amp;amp; Psychiatry 1999, 66 (3), 376-379.</w:t>
      </w:r>
    </w:p>
    <w:p w14:paraId="57900276"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4ABB54EA"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Tejada-Simon, M. V.; Zang, Y. C. Q.; Hong, J.; Rivera, V. M.; Zhang, J. Z., Cross-reactivity with myelin basic protein and human herpesvirus-6 in multiple sclerosis. Annals of Neurology 2003, 53 (2), 189-197. </w:t>
      </w:r>
    </w:p>
    <w:p w14:paraId="0FB56C01"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3DFD116B"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Readhead, B.; Haure-Mirande, J. V.; Funk, C. C.; Richards, M. A.; Shannon, P.; Haroutunian, V.; Sano, M.; Liang, W. S.; Beckmann, N. D.; Price, N. D.; Reiman, E. M.; Schadt, E. E.; Ehrlich, M. E.; Gandy, S.; Dudley, J. T., Multiscale Analysis of Independent Alzheimer's Cohorts Finds Disruption of Molecular, Genetic, and Clinical Networks by Human Herpesvirus. Neuron 2018, 99 (1), 64-82.e7.</w:t>
      </w:r>
    </w:p>
    <w:p w14:paraId="30921269"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6ED90621"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Cunningham, M. W., Rheumatic Fever, Autoimmunity and Molecular Mimicry: The Streptococcal Connection. Int Rev Immunol 2014, 33 (4), 314-29. </w:t>
      </w:r>
    </w:p>
    <w:p w14:paraId="16CD24D7"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570B0187"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lastRenderedPageBreak/>
        <w:t>Liu, C. C.; Kanekiyo, T.; Xu, H.; Bu, G., Apolipoprotein E and Alzheimer disease: risk, mechanisms, and therapy. Nature reviews. Neurology 2013, 9 (2), 106-18.</w:t>
      </w:r>
    </w:p>
    <w:p w14:paraId="5C468570"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1879FB06"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Fasano, A., Intestinal permeability and its regulation by zonulin: diagnostic and therapeutic implications. Clin Gastroenterol Hepatol 2012, 10 (10), 1096-100.</w:t>
      </w:r>
    </w:p>
    <w:p w14:paraId="1A9FC6C9"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7E99C9EF"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Caito, S.; Aschner, M., Neurotoxicity of metals. Handbook of clinical neurology 2015, 131, 169-89.</w:t>
      </w:r>
    </w:p>
    <w:p w14:paraId="6CE4C983"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201391D1"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Reinhard, M. J.; Satz, P.; Scaglione, C. A.; D'Elia, L. F.; Rassovsky, Y.; Arita, A. A.; Hinkin, C. H.; Thrasher, D.; Ordog, G., Neuropsychological exploration of alleged mold neurotoxicity. Arch Clin Neuropsychol 2007, 22 (4), 533-43.</w:t>
      </w:r>
    </w:p>
    <w:p w14:paraId="29CDAFB5"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52DA6FBF"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Bredesen, D. E., Reversal of cognitive decline: A novel therapeutic program. Aging (Albany NY) 2014, 6 (9), 707-17. </w:t>
      </w:r>
    </w:p>
    <w:p w14:paraId="20FDC6AF"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42BBE850"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Dye, R. V.; Miller, K. J.; Singer, E. J.; Levine, A. J., Hormone Replacement Therapy and Risk for Neurodegenerative Diseases. International Journal of Alzheimer's Disease 2012, 2012. </w:t>
      </w:r>
    </w:p>
    <w:p w14:paraId="3DCC1C81"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5A6E59BA"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Carmeli, E., Physical Therapy for Neurological Conditions in Geriatric Populations. Frontiers in Public Health 2017, Sijobert, B.; Azevedo-Coste, C.; Andreu, D.; Verna, C.; Geny, C., Effects of Sensitive Electrical Stimulation Based Cueing in Parkinson’s Disease: A Preliminary Study. European Journal of Translational Myology 2016, 26 (2).</w:t>
      </w:r>
    </w:p>
    <w:p w14:paraId="56751EBE"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6629479F"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Aldehri, M.; Temel, Y.; Alnaami, I.; Jahanshahi, A.; Hescham, S., Deep brain stimulation for Alzheimer's Disease: An update. Surgical Neurology International 2018, 9.</w:t>
      </w:r>
    </w:p>
    <w:p w14:paraId="58AD8E7B"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153FD7DB"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Muhammad, C. M.; Moonaz, S. H., Yoga as Therapy for Neurodegenerative Disorders: A Case Report of Therapeutic Yoga for Adrenomyeloneuropathy. Integrative Medicine: A Clinician's Journal 2014, 13 (3), 33-9.</w:t>
      </w:r>
    </w:p>
    <w:p w14:paraId="4D48B7DC"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79C261D0"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312F622C"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bookmarkStart w:id="3" w:name="_gjdgxs" w:colFirst="0" w:colLast="0"/>
      <w:bookmarkEnd w:id="3"/>
    </w:p>
    <w:p w14:paraId="01D60456"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Asakawa, T.; Xia, Y., Can Acupuncture Treat Alzheimer’s Disease and Other Neurodegenerative Disorders? In Current Research in Acupuncture, Xia, Y.; Ding, G.; Wu, G.-C., Eds. Springer New York: New York, NY, 2013; pp 255-301.</w:t>
      </w:r>
    </w:p>
    <w:p w14:paraId="0A70FC43"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2B8A3F7B"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Douris, P. C.; Cogen, Z. S.; Fields, H. T.; Greco, L. C.; Hasley, M. R.; Machado, C. M.; Romagnuolo, P. M.; Stamboulis, G.; DiFrancisco-Donoghue, J., The effects of blood flow restriction training on functional improvements in an active single subject with parkinson disease. International Journal of Sports Physical Therapy 2018, 13 (2), 247-54.</w:t>
      </w:r>
    </w:p>
    <w:p w14:paraId="71B2116F"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5753D662"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Dommerholt, J., Dry needling — peripheral and central considerations. J Man Manip Ther 2011, 19 (4), 223-7.</w:t>
      </w:r>
    </w:p>
    <w:p w14:paraId="465443FE"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29C151AC"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Laukkanen, T.; Kunutsor, S.; Kauhanen, J.; Laukkanen, J. A., Sauna bathing is inversely associated with dementia and Alzheimer's disease in middle-aged Finnish men. Age Ageing 2017, 46 (2), 245-249. </w:t>
      </w:r>
    </w:p>
    <w:p w14:paraId="78670A9F"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240F7F7B"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Scarmeas, N.; Stern, Y.; Tang, M. X.; Mayeux, R.; Luchsinger, J. A., Mediterranean Diet and Risk for Alzheimer’s Disease. Ann Neurol 2006, 59 (6), 912-21.</w:t>
      </w:r>
    </w:p>
    <w:p w14:paraId="019A6622"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1B4CCEAA"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Kerksick, C.; Willoughby, D., The Antioxidant Role of Glutathione and N-Acetyl-Cysteine Supplements and Exercise-Induced Oxidative Stress. Journal of the International Society of Sports Nutrition 2005, 2 (2), 38-44. </w:t>
      </w:r>
    </w:p>
    <w:p w14:paraId="6CA11EF5"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7C2D821E"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Brustolin, S.; Giugliani, R.; Félix, T. M., Genetics of homocysteine metabolism and associated disorders. Braz J Med Biol Res 2010, 43 (1), 1-7. </w:t>
      </w:r>
    </w:p>
    <w:p w14:paraId="78E5AAB6"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1DD30506"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Stover, P. J., Vitamin B12 and older adults. Current opinion in clinical nutrition and metabolic care 2010, 13 (1), 24-7. </w:t>
      </w:r>
    </w:p>
    <w:p w14:paraId="4374893A" w14:textId="77777777" w:rsidR="00A351BC" w:rsidRPr="00F87104" w:rsidRDefault="00A351BC">
      <w:pPr>
        <w:tabs>
          <w:tab w:val="left" w:pos="900"/>
          <w:tab w:val="left" w:pos="990"/>
          <w:tab w:val="left" w:pos="1080"/>
        </w:tabs>
        <w:ind w:left="450" w:hanging="270"/>
        <w:rPr>
          <w:rFonts w:ascii="Times New Roman" w:hAnsi="Times New Roman" w:cs="Times New Roman"/>
          <w:sz w:val="16"/>
          <w:szCs w:val="16"/>
        </w:rPr>
      </w:pPr>
    </w:p>
    <w:p w14:paraId="68C14BF0" w14:textId="77777777" w:rsidR="00A351BC" w:rsidRPr="00F87104" w:rsidRDefault="00032BAA">
      <w:pPr>
        <w:numPr>
          <w:ilvl w:val="0"/>
          <w:numId w:val="16"/>
        </w:numPr>
        <w:pBdr>
          <w:top w:val="nil"/>
          <w:left w:val="nil"/>
          <w:bottom w:val="nil"/>
          <w:right w:val="nil"/>
          <w:between w:val="nil"/>
        </w:pBdr>
        <w:tabs>
          <w:tab w:val="left" w:pos="900"/>
          <w:tab w:val="left" w:pos="990"/>
          <w:tab w:val="left" w:pos="1080"/>
        </w:tabs>
        <w:rPr>
          <w:rFonts w:ascii="Times New Roman" w:hAnsi="Times New Roman" w:cs="Times New Roman"/>
          <w:color w:val="000000"/>
          <w:sz w:val="16"/>
          <w:szCs w:val="16"/>
        </w:rPr>
      </w:pPr>
      <w:r w:rsidRPr="00F87104">
        <w:rPr>
          <w:rFonts w:ascii="Times New Roman" w:hAnsi="Times New Roman" w:cs="Times New Roman"/>
          <w:color w:val="000000"/>
          <w:sz w:val="16"/>
          <w:szCs w:val="16"/>
        </w:rPr>
        <w:t xml:space="preserve">Gomes, M. B.; Negrato, C. A., Alpha-lipoic acid as a pleiotropic compound with potential therapeutic use in diabetes and other chronic diseases. Diabetology &amp; Metabolic Syndrome 2014, 6. </w:t>
      </w:r>
    </w:p>
    <w:p w14:paraId="5A8B162B" w14:textId="77777777" w:rsidR="00A351BC" w:rsidRPr="00A036C2" w:rsidRDefault="00A351BC">
      <w:pPr>
        <w:ind w:left="90"/>
        <w:rPr>
          <w:rFonts w:ascii="Times New Roman" w:hAnsi="Times New Roman" w:cs="Times New Roman"/>
          <w:sz w:val="20"/>
          <w:szCs w:val="20"/>
        </w:rPr>
      </w:pPr>
    </w:p>
    <w:p w14:paraId="24DE639D" w14:textId="77777777" w:rsidR="00A351BC" w:rsidRPr="00A036C2" w:rsidRDefault="00A351BC">
      <w:pPr>
        <w:ind w:left="90"/>
        <w:rPr>
          <w:rFonts w:ascii="Times New Roman" w:hAnsi="Times New Roman" w:cs="Times New Roman"/>
          <w:sz w:val="20"/>
          <w:szCs w:val="20"/>
        </w:rPr>
      </w:pPr>
    </w:p>
    <w:p w14:paraId="02A03869" w14:textId="77777777" w:rsidR="00A351BC" w:rsidRPr="00A036C2" w:rsidRDefault="00A351BC">
      <w:pPr>
        <w:ind w:left="90"/>
        <w:rPr>
          <w:rFonts w:ascii="Times New Roman" w:hAnsi="Times New Roman" w:cs="Times New Roman"/>
          <w:sz w:val="20"/>
          <w:szCs w:val="20"/>
        </w:rPr>
      </w:pPr>
    </w:p>
    <w:p w14:paraId="57A0B45D" w14:textId="77777777" w:rsidR="00A351BC" w:rsidRPr="00A036C2" w:rsidRDefault="00A351BC">
      <w:pPr>
        <w:ind w:left="90"/>
        <w:jc w:val="both"/>
        <w:rPr>
          <w:rFonts w:ascii="Times New Roman" w:eastAsia="Times New Roman" w:hAnsi="Times New Roman" w:cs="Times New Roman"/>
        </w:rPr>
      </w:pPr>
    </w:p>
    <w:p w14:paraId="4B3431AC" w14:textId="77777777" w:rsidR="00A351BC" w:rsidRPr="00A036C2" w:rsidRDefault="00A351BC">
      <w:pPr>
        <w:rPr>
          <w:rFonts w:ascii="Times New Roman" w:hAnsi="Times New Roman" w:cs="Times New Roman"/>
        </w:rPr>
      </w:pPr>
    </w:p>
    <w:sectPr w:rsidR="00A351BC" w:rsidRPr="00A036C2">
      <w:headerReference w:type="default" r:id="rId13"/>
      <w:footerReference w:type="even" r:id="rId14"/>
      <w:footerReference w:type="default" r:id="rId15"/>
      <w:pgSz w:w="12240" w:h="15840"/>
      <w:pgMar w:top="351" w:right="907" w:bottom="1440" w:left="720" w:header="27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3D052" w14:textId="77777777" w:rsidR="00551104" w:rsidRDefault="00551104">
      <w:r>
        <w:separator/>
      </w:r>
    </w:p>
  </w:endnote>
  <w:endnote w:type="continuationSeparator" w:id="0">
    <w:p w14:paraId="2FBAF90C" w14:textId="77777777" w:rsidR="00551104" w:rsidRDefault="00551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1CE3" w14:textId="77777777" w:rsidR="00A351BC" w:rsidRDefault="00032BA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0F722967" w14:textId="77777777" w:rsidR="00A351BC" w:rsidRDefault="00A351BC">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A27C" w14:textId="77777777" w:rsidR="00A351BC" w:rsidRDefault="00032BA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9914BF">
      <w:rPr>
        <w:noProof/>
        <w:color w:val="000000"/>
      </w:rPr>
      <w:t>13</w:t>
    </w:r>
    <w:r>
      <w:rPr>
        <w:color w:val="000000"/>
      </w:rPr>
      <w:fldChar w:fldCharType="end"/>
    </w:r>
  </w:p>
  <w:p w14:paraId="1701370E" w14:textId="77777777" w:rsidR="00A351BC" w:rsidRDefault="00A351BC">
    <w:pPr>
      <w:pBdr>
        <w:top w:val="nil"/>
        <w:left w:val="nil"/>
        <w:bottom w:val="nil"/>
        <w:right w:val="nil"/>
        <w:between w:val="nil"/>
      </w:pBdr>
      <w:tabs>
        <w:tab w:val="center" w:pos="4680"/>
        <w:tab w:val="right" w:pos="9360"/>
      </w:tabs>
      <w:ind w:right="36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1078" w14:textId="77777777" w:rsidR="00551104" w:rsidRDefault="00551104">
      <w:r>
        <w:separator/>
      </w:r>
    </w:p>
  </w:footnote>
  <w:footnote w:type="continuationSeparator" w:id="0">
    <w:p w14:paraId="0D83A551" w14:textId="77777777" w:rsidR="00551104" w:rsidRDefault="00551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DDBE" w14:textId="77777777" w:rsidR="00A351BC" w:rsidRDefault="00A351B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1FE"/>
    <w:multiLevelType w:val="multilevel"/>
    <w:tmpl w:val="CD1AE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B138FA"/>
    <w:multiLevelType w:val="multilevel"/>
    <w:tmpl w:val="18B8B9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967517"/>
    <w:multiLevelType w:val="hybridMultilevel"/>
    <w:tmpl w:val="7E80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D75DD"/>
    <w:multiLevelType w:val="multilevel"/>
    <w:tmpl w:val="BF4A1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920B0A"/>
    <w:multiLevelType w:val="hybridMultilevel"/>
    <w:tmpl w:val="4CF49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D4380"/>
    <w:multiLevelType w:val="multilevel"/>
    <w:tmpl w:val="74D6A6B2"/>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o"/>
      <w:lvlJc w:val="left"/>
      <w:pPr>
        <w:ind w:left="2206" w:hanging="360"/>
      </w:pPr>
      <w:rPr>
        <w:rFonts w:ascii="Courier New" w:hAnsi="Courier New" w:cs="Courier New" w:hint="default"/>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6" w15:restartNumberingAfterBreak="0">
    <w:nsid w:val="0FA864AB"/>
    <w:multiLevelType w:val="multilevel"/>
    <w:tmpl w:val="5F6C4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E456C5"/>
    <w:multiLevelType w:val="multilevel"/>
    <w:tmpl w:val="27AAF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6850F9"/>
    <w:multiLevelType w:val="multilevel"/>
    <w:tmpl w:val="57FCE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CB746E0"/>
    <w:multiLevelType w:val="multilevel"/>
    <w:tmpl w:val="8BD615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F872997"/>
    <w:multiLevelType w:val="multilevel"/>
    <w:tmpl w:val="6AE40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FF40438"/>
    <w:multiLevelType w:val="hybridMultilevel"/>
    <w:tmpl w:val="15022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14D1B"/>
    <w:multiLevelType w:val="multilevel"/>
    <w:tmpl w:val="8918C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C41EBC"/>
    <w:multiLevelType w:val="multilevel"/>
    <w:tmpl w:val="94A4F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AE26A93"/>
    <w:multiLevelType w:val="multilevel"/>
    <w:tmpl w:val="8DB83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A53A49"/>
    <w:multiLevelType w:val="multilevel"/>
    <w:tmpl w:val="90F80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71F6085"/>
    <w:multiLevelType w:val="multilevel"/>
    <w:tmpl w:val="5308D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CEF65EB"/>
    <w:multiLevelType w:val="multilevel"/>
    <w:tmpl w:val="6D12BB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53E2057"/>
    <w:multiLevelType w:val="multilevel"/>
    <w:tmpl w:val="E74E1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53F37C0"/>
    <w:multiLevelType w:val="multilevel"/>
    <w:tmpl w:val="E0EEBC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8F932AB"/>
    <w:multiLevelType w:val="multilevel"/>
    <w:tmpl w:val="2DD00F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D74207A"/>
    <w:multiLevelType w:val="multilevel"/>
    <w:tmpl w:val="303CD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0C30762"/>
    <w:multiLevelType w:val="hybridMultilevel"/>
    <w:tmpl w:val="16C8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9001B"/>
    <w:multiLevelType w:val="multilevel"/>
    <w:tmpl w:val="61D6BB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3EA0832"/>
    <w:multiLevelType w:val="multilevel"/>
    <w:tmpl w:val="31A85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007A41"/>
    <w:multiLevelType w:val="multilevel"/>
    <w:tmpl w:val="A5B6ADFE"/>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6" w15:restartNumberingAfterBreak="0">
    <w:nsid w:val="57E93F36"/>
    <w:multiLevelType w:val="multilevel"/>
    <w:tmpl w:val="81AC0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D40C53"/>
    <w:multiLevelType w:val="multilevel"/>
    <w:tmpl w:val="20A49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68F4E1F"/>
    <w:multiLevelType w:val="multilevel"/>
    <w:tmpl w:val="62D02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0E7E0E"/>
    <w:multiLevelType w:val="multilevel"/>
    <w:tmpl w:val="59BE60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6A8A057D"/>
    <w:multiLevelType w:val="multilevel"/>
    <w:tmpl w:val="73CA6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BB24EB0"/>
    <w:multiLevelType w:val="multilevel"/>
    <w:tmpl w:val="DC4CCDE6"/>
    <w:lvl w:ilvl="0">
      <w:start w:val="10"/>
      <w:numFmt w:val="decimal"/>
      <w:lvlText w:val="%1."/>
      <w:lvlJc w:val="left"/>
      <w:pPr>
        <w:ind w:left="720" w:hanging="360"/>
      </w:pPr>
    </w:lvl>
    <w:lvl w:ilvl="1">
      <w:start w:val="1"/>
      <w:numFmt w:val="bullet"/>
      <w:lvlText w:val="-"/>
      <w:lvlJc w:val="left"/>
      <w:pPr>
        <w:ind w:left="1440" w:hanging="360"/>
      </w:pPr>
      <w:rPr>
        <w:rFonts w:ascii="Calibri" w:eastAsia="Calibri" w:hAnsi="Calibri" w:cs="Calibri"/>
      </w:rPr>
    </w:lvl>
    <w:lvl w:ilvl="2">
      <w:start w:val="57"/>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77152FE8"/>
    <w:multiLevelType w:val="multilevel"/>
    <w:tmpl w:val="22C68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D32D95"/>
    <w:multiLevelType w:val="multilevel"/>
    <w:tmpl w:val="B5D433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FD85DAC"/>
    <w:multiLevelType w:val="multilevel"/>
    <w:tmpl w:val="9E8260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9"/>
  </w:num>
  <w:num w:numId="2">
    <w:abstractNumId w:val="0"/>
  </w:num>
  <w:num w:numId="3">
    <w:abstractNumId w:val="28"/>
  </w:num>
  <w:num w:numId="4">
    <w:abstractNumId w:val="14"/>
  </w:num>
  <w:num w:numId="5">
    <w:abstractNumId w:val="17"/>
  </w:num>
  <w:num w:numId="6">
    <w:abstractNumId w:val="32"/>
  </w:num>
  <w:num w:numId="7">
    <w:abstractNumId w:val="13"/>
  </w:num>
  <w:num w:numId="8">
    <w:abstractNumId w:val="26"/>
  </w:num>
  <w:num w:numId="9">
    <w:abstractNumId w:val="30"/>
  </w:num>
  <w:num w:numId="10">
    <w:abstractNumId w:val="9"/>
  </w:num>
  <w:num w:numId="11">
    <w:abstractNumId w:val="33"/>
  </w:num>
  <w:num w:numId="12">
    <w:abstractNumId w:val="34"/>
  </w:num>
  <w:num w:numId="13">
    <w:abstractNumId w:val="16"/>
  </w:num>
  <w:num w:numId="14">
    <w:abstractNumId w:val="10"/>
  </w:num>
  <w:num w:numId="15">
    <w:abstractNumId w:val="29"/>
  </w:num>
  <w:num w:numId="16">
    <w:abstractNumId w:val="31"/>
  </w:num>
  <w:num w:numId="17">
    <w:abstractNumId w:val="24"/>
  </w:num>
  <w:num w:numId="18">
    <w:abstractNumId w:val="6"/>
  </w:num>
  <w:num w:numId="19">
    <w:abstractNumId w:val="3"/>
  </w:num>
  <w:num w:numId="20">
    <w:abstractNumId w:val="25"/>
  </w:num>
  <w:num w:numId="21">
    <w:abstractNumId w:val="22"/>
  </w:num>
  <w:num w:numId="22">
    <w:abstractNumId w:val="4"/>
  </w:num>
  <w:num w:numId="23">
    <w:abstractNumId w:val="2"/>
  </w:num>
  <w:num w:numId="24">
    <w:abstractNumId w:val="11"/>
  </w:num>
  <w:num w:numId="25">
    <w:abstractNumId w:val="18"/>
  </w:num>
  <w:num w:numId="26">
    <w:abstractNumId w:val="27"/>
  </w:num>
  <w:num w:numId="27">
    <w:abstractNumId w:val="12"/>
  </w:num>
  <w:num w:numId="28">
    <w:abstractNumId w:val="8"/>
  </w:num>
  <w:num w:numId="29">
    <w:abstractNumId w:val="21"/>
  </w:num>
  <w:num w:numId="30">
    <w:abstractNumId w:val="15"/>
  </w:num>
  <w:num w:numId="31">
    <w:abstractNumId w:val="1"/>
  </w:num>
  <w:num w:numId="32">
    <w:abstractNumId w:val="20"/>
  </w:num>
  <w:num w:numId="33">
    <w:abstractNumId w:val="5"/>
  </w:num>
  <w:num w:numId="34">
    <w:abstractNumId w:val="2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BC"/>
    <w:rsid w:val="0000482C"/>
    <w:rsid w:val="00013724"/>
    <w:rsid w:val="00014A95"/>
    <w:rsid w:val="00032BAA"/>
    <w:rsid w:val="00042894"/>
    <w:rsid w:val="00051698"/>
    <w:rsid w:val="00141F7F"/>
    <w:rsid w:val="001535BB"/>
    <w:rsid w:val="00161BA4"/>
    <w:rsid w:val="001C07AE"/>
    <w:rsid w:val="001D23AA"/>
    <w:rsid w:val="0021311A"/>
    <w:rsid w:val="002539EC"/>
    <w:rsid w:val="00282A77"/>
    <w:rsid w:val="002B26EE"/>
    <w:rsid w:val="003A1B80"/>
    <w:rsid w:val="003B3E58"/>
    <w:rsid w:val="003C5543"/>
    <w:rsid w:val="003E3AED"/>
    <w:rsid w:val="00424C15"/>
    <w:rsid w:val="004440E0"/>
    <w:rsid w:val="00455843"/>
    <w:rsid w:val="00466ADC"/>
    <w:rsid w:val="00467697"/>
    <w:rsid w:val="004D215F"/>
    <w:rsid w:val="005125B9"/>
    <w:rsid w:val="00514112"/>
    <w:rsid w:val="00551104"/>
    <w:rsid w:val="00565FBE"/>
    <w:rsid w:val="0059214E"/>
    <w:rsid w:val="005A689E"/>
    <w:rsid w:val="005B1428"/>
    <w:rsid w:val="005B34AE"/>
    <w:rsid w:val="005F1666"/>
    <w:rsid w:val="006503E4"/>
    <w:rsid w:val="006523FE"/>
    <w:rsid w:val="00657EB9"/>
    <w:rsid w:val="00665B55"/>
    <w:rsid w:val="00685A3D"/>
    <w:rsid w:val="00692267"/>
    <w:rsid w:val="006D6B85"/>
    <w:rsid w:val="006F6AF6"/>
    <w:rsid w:val="00767AE5"/>
    <w:rsid w:val="007D1F77"/>
    <w:rsid w:val="0082393D"/>
    <w:rsid w:val="00840C6D"/>
    <w:rsid w:val="008915D1"/>
    <w:rsid w:val="009415B1"/>
    <w:rsid w:val="00966341"/>
    <w:rsid w:val="009822F2"/>
    <w:rsid w:val="009914BF"/>
    <w:rsid w:val="009B253A"/>
    <w:rsid w:val="00A02BD9"/>
    <w:rsid w:val="00A036C2"/>
    <w:rsid w:val="00A351BC"/>
    <w:rsid w:val="00A500A6"/>
    <w:rsid w:val="00A61085"/>
    <w:rsid w:val="00A670D5"/>
    <w:rsid w:val="00B215C1"/>
    <w:rsid w:val="00B25764"/>
    <w:rsid w:val="00B51CCA"/>
    <w:rsid w:val="00C624F4"/>
    <w:rsid w:val="00C6514C"/>
    <w:rsid w:val="00C67170"/>
    <w:rsid w:val="00C91DB7"/>
    <w:rsid w:val="00D11A93"/>
    <w:rsid w:val="00D87B74"/>
    <w:rsid w:val="00D87B8B"/>
    <w:rsid w:val="00DC37F4"/>
    <w:rsid w:val="00E0541B"/>
    <w:rsid w:val="00E47A55"/>
    <w:rsid w:val="00E85EB1"/>
    <w:rsid w:val="00E96197"/>
    <w:rsid w:val="00F332F8"/>
    <w:rsid w:val="00F87104"/>
    <w:rsid w:val="00F92870"/>
    <w:rsid w:val="00F954EC"/>
    <w:rsid w:val="00FD273B"/>
    <w:rsid w:val="00FE1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0BEB34"/>
  <w15:docId w15:val="{3ED002E2-C40C-4DE2-8BE7-62239B92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32B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BAA"/>
    <w:rPr>
      <w:rFonts w:ascii="Segoe UI" w:hAnsi="Segoe UI" w:cs="Segoe UI"/>
      <w:sz w:val="18"/>
      <w:szCs w:val="18"/>
    </w:rPr>
  </w:style>
  <w:style w:type="paragraph" w:styleId="Header">
    <w:name w:val="header"/>
    <w:basedOn w:val="Normal"/>
    <w:link w:val="HeaderChar"/>
    <w:uiPriority w:val="99"/>
    <w:unhideWhenUsed/>
    <w:rsid w:val="00D87B8B"/>
    <w:pPr>
      <w:tabs>
        <w:tab w:val="center" w:pos="4680"/>
        <w:tab w:val="right" w:pos="9360"/>
      </w:tabs>
    </w:pPr>
  </w:style>
  <w:style w:type="character" w:customStyle="1" w:styleId="HeaderChar">
    <w:name w:val="Header Char"/>
    <w:basedOn w:val="DefaultParagraphFont"/>
    <w:link w:val="Header"/>
    <w:uiPriority w:val="99"/>
    <w:rsid w:val="00D87B8B"/>
  </w:style>
  <w:style w:type="paragraph" w:styleId="Footer">
    <w:name w:val="footer"/>
    <w:basedOn w:val="Normal"/>
    <w:link w:val="FooterChar"/>
    <w:uiPriority w:val="99"/>
    <w:unhideWhenUsed/>
    <w:rsid w:val="00D87B8B"/>
    <w:pPr>
      <w:tabs>
        <w:tab w:val="center" w:pos="4680"/>
        <w:tab w:val="right" w:pos="9360"/>
      </w:tabs>
    </w:pPr>
  </w:style>
  <w:style w:type="character" w:customStyle="1" w:styleId="FooterChar">
    <w:name w:val="Footer Char"/>
    <w:basedOn w:val="DefaultParagraphFont"/>
    <w:link w:val="Footer"/>
    <w:uiPriority w:val="99"/>
    <w:rsid w:val="00D87B8B"/>
  </w:style>
  <w:style w:type="paragraph" w:styleId="ListParagraph">
    <w:name w:val="List Paragraph"/>
    <w:basedOn w:val="Normal"/>
    <w:uiPriority w:val="34"/>
    <w:qFormat/>
    <w:rsid w:val="00282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doi.org.ezpprod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rm.org/wp-content/uploads/pdf/TBIDef_English_10-10.pdf" TargetMode="External"/><Relationship Id="rId12" Type="http://schemas.openxmlformats.org/officeDocument/2006/relationships/hyperlink" Target="http://www.ncbi.nlm.nih.gov/pubmed/?term=Zhao%20FJ%5BAuthor%5D&amp;cauthor=true&amp;cauthor_uid=270728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7072877"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cbi.nlm.nih.gov/pubmed/25052888" TargetMode="External"/><Relationship Id="rId4" Type="http://schemas.openxmlformats.org/officeDocument/2006/relationships/webSettings" Target="webSettings.xml"/><Relationship Id="rId9" Type="http://schemas.openxmlformats.org/officeDocument/2006/relationships/hyperlink" Target="http://doi.org.ezpprod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5656</Words>
  <Characters>32244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Cassie Siniscalchi</dc:creator>
  <cp:lastModifiedBy>Cassie Siniscalchi</cp:lastModifiedBy>
  <cp:revision>4</cp:revision>
  <cp:lastPrinted>2020-12-08T14:35:00Z</cp:lastPrinted>
  <dcterms:created xsi:type="dcterms:W3CDTF">2021-08-25T17:20:00Z</dcterms:created>
  <dcterms:modified xsi:type="dcterms:W3CDTF">2021-10-28T19:40:00Z</dcterms:modified>
</cp:coreProperties>
</file>